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EBEEC" w14:textId="49FF8F30"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_GoBack"/>
      <w:bookmarkEnd w:id="0"/>
      <w:r w:rsidRPr="004C7FF5">
        <w:rPr>
          <w:rFonts w:ascii="Arial" w:eastAsia="MS Mincho" w:hAnsi="Arial"/>
          <w:b/>
          <w:sz w:val="24"/>
          <w:szCs w:val="24"/>
          <w:lang w:val="en-GB" w:eastAsia="x-none"/>
        </w:rPr>
        <w:t>3GPP TSG-RAN WG2 Meeting #107</w:t>
      </w:r>
      <w:r w:rsidRPr="004C7FF5">
        <w:rPr>
          <w:rFonts w:ascii="Arial" w:eastAsia="MS Mincho" w:hAnsi="Arial"/>
          <w:b/>
          <w:sz w:val="24"/>
          <w:szCs w:val="24"/>
          <w:lang w:val="en-GB" w:eastAsia="x-none"/>
        </w:rPr>
        <w:tab/>
        <w:t>R2-19</w:t>
      </w:r>
      <w:r w:rsidR="004012E2">
        <w:rPr>
          <w:rFonts w:ascii="Arial" w:eastAsia="MS Mincho" w:hAnsi="Arial"/>
          <w:b/>
          <w:sz w:val="24"/>
          <w:szCs w:val="24"/>
          <w:lang w:val="en-GB" w:eastAsia="x-none"/>
        </w:rPr>
        <w:t>0</w:t>
      </w:r>
      <w:r w:rsidR="006463B5">
        <w:rPr>
          <w:rFonts w:ascii="Arial" w:eastAsia="MS Mincho" w:hAnsi="Arial"/>
          <w:b/>
          <w:sz w:val="24"/>
          <w:szCs w:val="24"/>
          <w:lang w:val="en-GB" w:eastAsia="x-none"/>
        </w:rPr>
        <w:t>9580</w:t>
      </w:r>
    </w:p>
    <w:p w14:paraId="6F9F5433" w14:textId="52D768C8"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Prague, Czech Republic,</w:t>
      </w:r>
      <w:r w:rsidR="005A7DDD">
        <w:rPr>
          <w:rFonts w:ascii="Arial" w:eastAsia="MS Mincho" w:hAnsi="Arial"/>
          <w:b/>
          <w:sz w:val="24"/>
          <w:szCs w:val="24"/>
          <w:lang w:val="en-GB" w:eastAsia="x-none"/>
        </w:rPr>
        <w:t xml:space="preserve"> </w:t>
      </w:r>
      <w:r w:rsidRPr="004C7FF5">
        <w:rPr>
          <w:rFonts w:ascii="Arial" w:eastAsia="MS Mincho" w:hAnsi="Arial"/>
          <w:b/>
          <w:sz w:val="24"/>
          <w:szCs w:val="24"/>
          <w:lang w:val="en-GB" w:eastAsia="x-none"/>
        </w:rPr>
        <w:t>26th - 30th August 2019</w:t>
      </w:r>
    </w:p>
    <w:p w14:paraId="4E6E297A" w14:textId="77777777" w:rsidR="004C7FF5" w:rsidRDefault="004C7FF5" w:rsidP="003E0282">
      <w:pPr>
        <w:spacing w:after="60"/>
        <w:ind w:left="1555" w:hanging="1555"/>
        <w:jc w:val="left"/>
        <w:rPr>
          <w:rFonts w:ascii="Arial" w:hAnsi="Arial" w:cs="Arial"/>
          <w:b/>
          <w:lang w:eastAsia="zh-CN"/>
        </w:rPr>
      </w:pPr>
    </w:p>
    <w:p w14:paraId="4841E2D7" w14:textId="31FE5367"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4B1878" w:rsidRPr="004B1878">
        <w:rPr>
          <w:rFonts w:ascii="Arial" w:hAnsi="Arial" w:cs="Arial"/>
          <w:b/>
          <w:bCs/>
          <w:sz w:val="24"/>
          <w:szCs w:val="20"/>
        </w:rPr>
        <w:t>11.9.2.1</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4535776D"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5AA3F6F"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r w:rsidR="00B1418A">
        <w:rPr>
          <w:rFonts w:ascii="Arial" w:hAnsi="Arial" w:cs="Arial"/>
          <w:b/>
          <w:bCs/>
          <w:sz w:val="24"/>
          <w:szCs w:val="20"/>
        </w:rPr>
        <w:t xml:space="preserve">Comparison of DC based vs. MBB based Approaches </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7EA95162" w14:textId="5B5F8B44" w:rsidR="00B87EC9" w:rsidRDefault="005E5036" w:rsidP="007F5EC6">
      <w:pPr>
        <w:rPr>
          <w:sz w:val="20"/>
          <w:szCs w:val="20"/>
        </w:rPr>
      </w:pPr>
      <w:r w:rsidRPr="006840C6">
        <w:rPr>
          <w:sz w:val="20"/>
          <w:szCs w:val="20"/>
        </w:rPr>
        <w:t>T</w:t>
      </w:r>
      <w:r w:rsidR="00DF2D2C" w:rsidRPr="006840C6">
        <w:rPr>
          <w:sz w:val="20"/>
          <w:szCs w:val="20"/>
        </w:rPr>
        <w:t>his contribution</w:t>
      </w:r>
      <w:r w:rsidRPr="006840C6">
        <w:rPr>
          <w:sz w:val="20"/>
          <w:szCs w:val="20"/>
        </w:rPr>
        <w:t xml:space="preserve"> </w:t>
      </w:r>
      <w:r w:rsidR="004F434F">
        <w:rPr>
          <w:sz w:val="20"/>
          <w:szCs w:val="20"/>
        </w:rPr>
        <w:t>compares</w:t>
      </w:r>
      <w:r w:rsidR="00AB69AE">
        <w:rPr>
          <w:sz w:val="20"/>
          <w:szCs w:val="20"/>
        </w:rPr>
        <w:t xml:space="preserve"> DC based and MBB based</w:t>
      </w:r>
      <w:r w:rsidR="00B4767F">
        <w:rPr>
          <w:sz w:val="20"/>
          <w:szCs w:val="20"/>
        </w:rPr>
        <w:t xml:space="preserve"> </w:t>
      </w:r>
      <w:r w:rsidR="008A263C">
        <w:rPr>
          <w:sz w:val="20"/>
          <w:szCs w:val="20"/>
        </w:rPr>
        <w:t xml:space="preserve">mechanisms for </w:t>
      </w:r>
      <w:r w:rsidR="00B4767F">
        <w:rPr>
          <w:sz w:val="20"/>
          <w:szCs w:val="20"/>
        </w:rPr>
        <w:t xml:space="preserve">handover interruption time </w:t>
      </w:r>
      <w:r w:rsidR="008A263C">
        <w:rPr>
          <w:sz w:val="20"/>
          <w:szCs w:val="20"/>
        </w:rPr>
        <w:t>reduction</w:t>
      </w:r>
      <w:r w:rsidRPr="006840C6">
        <w:rPr>
          <w:sz w:val="20"/>
          <w:szCs w:val="20"/>
        </w:rPr>
        <w:t>.</w:t>
      </w:r>
    </w:p>
    <w:p w14:paraId="1A28CE5F" w14:textId="77777777" w:rsidR="00CE06DE" w:rsidRPr="006840C6" w:rsidRDefault="00CE06DE" w:rsidP="007F5EC6">
      <w:pPr>
        <w:rPr>
          <w:sz w:val="20"/>
          <w:szCs w:val="20"/>
        </w:rPr>
      </w:pPr>
    </w:p>
    <w:p w14:paraId="001DBDC8" w14:textId="667B6AA2" w:rsidR="0099504D" w:rsidRDefault="00206CC9" w:rsidP="00C67719">
      <w:pPr>
        <w:pStyle w:val="Heading1"/>
      </w:pPr>
      <w:r>
        <w:t>Correction of misinformation about DC based approach</w:t>
      </w:r>
    </w:p>
    <w:p w14:paraId="6DFE9117" w14:textId="12648006" w:rsidR="00DD665C" w:rsidRDefault="00520864" w:rsidP="00D543B4">
      <w:pPr>
        <w:rPr>
          <w:sz w:val="20"/>
          <w:szCs w:val="20"/>
        </w:rPr>
      </w:pPr>
      <w:r>
        <w:rPr>
          <w:sz w:val="20"/>
          <w:szCs w:val="20"/>
        </w:rPr>
        <w:t>There is</w:t>
      </w:r>
      <w:r w:rsidR="00FD4003">
        <w:rPr>
          <w:sz w:val="20"/>
          <w:szCs w:val="20"/>
        </w:rPr>
        <w:t xml:space="preserve"> inaccurate statement that DC based approach would not be applicable to intra-frequency handover, as DC has only been defined for inter-frequency scenarios. </w:t>
      </w:r>
      <w:r w:rsidR="00DD665C">
        <w:rPr>
          <w:sz w:val="20"/>
          <w:szCs w:val="20"/>
        </w:rPr>
        <w:t xml:space="preserve">This confuses what’s available in Rel. 15 with what needs to be worked on in this Rel. 16 mobility enhancement work item: </w:t>
      </w:r>
    </w:p>
    <w:p w14:paraId="29ADF429" w14:textId="2B90319F" w:rsidR="00CB60CE" w:rsidRPr="00CB60CE" w:rsidRDefault="00DD665C" w:rsidP="00DD665C">
      <w:pPr>
        <w:pStyle w:val="ListParagraph"/>
        <w:numPr>
          <w:ilvl w:val="0"/>
          <w:numId w:val="8"/>
        </w:numPr>
        <w:rPr>
          <w:rFonts w:ascii="Times New Roman" w:hAnsi="Times New Roman"/>
        </w:rPr>
      </w:pPr>
      <w:r w:rsidRPr="00DD665C">
        <w:rPr>
          <w:rFonts w:ascii="Times New Roman" w:hAnsi="Times New Roman"/>
          <w:sz w:val="20"/>
          <w:szCs w:val="20"/>
        </w:rPr>
        <w:t>DC defined in Rel. 15</w:t>
      </w:r>
      <w:r w:rsidR="00CB60CE">
        <w:rPr>
          <w:rFonts w:ascii="Times New Roman" w:hAnsi="Times New Roman"/>
          <w:sz w:val="20"/>
          <w:szCs w:val="20"/>
        </w:rPr>
        <w:t xml:space="preserve"> NR is basically a reuse of what’s defined in LTE for throughput enhancement. Given the limited potential in throughput increase in intra-frequency </w:t>
      </w:r>
      <w:r w:rsidR="000F4614">
        <w:rPr>
          <w:rFonts w:ascii="Times New Roman" w:hAnsi="Times New Roman"/>
          <w:sz w:val="20"/>
          <w:szCs w:val="20"/>
        </w:rPr>
        <w:t xml:space="preserve">deployment </w:t>
      </w:r>
      <w:r w:rsidR="00CB60CE">
        <w:rPr>
          <w:rFonts w:ascii="Times New Roman" w:hAnsi="Times New Roman"/>
          <w:sz w:val="20"/>
          <w:szCs w:val="20"/>
        </w:rPr>
        <w:t xml:space="preserve">(without possible beamforming in high frequency band), </w:t>
      </w:r>
      <w:r w:rsidR="003E41E4">
        <w:rPr>
          <w:rFonts w:ascii="Times New Roman" w:hAnsi="Times New Roman"/>
          <w:sz w:val="20"/>
          <w:szCs w:val="20"/>
        </w:rPr>
        <w:t>the specification works of DC have been focused on inter</w:t>
      </w:r>
      <w:r w:rsidR="00CB60CE">
        <w:rPr>
          <w:rFonts w:ascii="Times New Roman" w:hAnsi="Times New Roman"/>
          <w:sz w:val="20"/>
          <w:szCs w:val="20"/>
        </w:rPr>
        <w:t>-frequency</w:t>
      </w:r>
      <w:r w:rsidR="00EF5BA0">
        <w:rPr>
          <w:rFonts w:ascii="Times New Roman" w:hAnsi="Times New Roman"/>
          <w:sz w:val="20"/>
          <w:szCs w:val="20"/>
        </w:rPr>
        <w:t xml:space="preserve"> scenarios</w:t>
      </w:r>
      <w:r w:rsidR="00CB60CE">
        <w:rPr>
          <w:rFonts w:ascii="Times New Roman" w:hAnsi="Times New Roman"/>
          <w:sz w:val="20"/>
          <w:szCs w:val="20"/>
        </w:rPr>
        <w:t>.</w:t>
      </w:r>
    </w:p>
    <w:p w14:paraId="5CD2EAE7" w14:textId="07FEF18C" w:rsidR="00D543B4" w:rsidRPr="003E41E4" w:rsidRDefault="003E41E4" w:rsidP="00DD665C">
      <w:pPr>
        <w:pStyle w:val="ListParagraph"/>
        <w:numPr>
          <w:ilvl w:val="0"/>
          <w:numId w:val="8"/>
        </w:numPr>
        <w:rPr>
          <w:rFonts w:ascii="Times New Roman" w:hAnsi="Times New Roman"/>
        </w:rPr>
      </w:pPr>
      <w:r>
        <w:rPr>
          <w:rFonts w:ascii="Times New Roman" w:hAnsi="Times New Roman"/>
          <w:sz w:val="20"/>
          <w:szCs w:val="20"/>
        </w:rPr>
        <w:t>MBB has not been defined for any deployment scenarios</w:t>
      </w:r>
      <w:r w:rsidR="00520864">
        <w:rPr>
          <w:rFonts w:ascii="Times New Roman" w:hAnsi="Times New Roman"/>
          <w:sz w:val="20"/>
          <w:szCs w:val="20"/>
        </w:rPr>
        <w:t xml:space="preserve"> in Rel. 15</w:t>
      </w:r>
      <w:r>
        <w:rPr>
          <w:rFonts w:ascii="Times New Roman" w:hAnsi="Times New Roman"/>
          <w:sz w:val="20"/>
          <w:szCs w:val="20"/>
        </w:rPr>
        <w:t>, neither for inter-frequency nor for intra-frequency</w:t>
      </w:r>
      <w:r w:rsidR="00D543B4" w:rsidRPr="00DD665C">
        <w:rPr>
          <w:rFonts w:ascii="Times New Roman" w:hAnsi="Times New Roman"/>
          <w:sz w:val="20"/>
          <w:szCs w:val="20"/>
        </w:rPr>
        <w:t>.</w:t>
      </w:r>
    </w:p>
    <w:p w14:paraId="24A8FCB0" w14:textId="4AA0B6EB" w:rsidR="003E41E4" w:rsidRPr="00520864" w:rsidRDefault="003E41E4" w:rsidP="00DD665C">
      <w:pPr>
        <w:pStyle w:val="ListParagraph"/>
        <w:numPr>
          <w:ilvl w:val="0"/>
          <w:numId w:val="8"/>
        </w:numPr>
        <w:rPr>
          <w:rFonts w:ascii="Times New Roman" w:hAnsi="Times New Roman"/>
        </w:rPr>
      </w:pPr>
      <w:r>
        <w:rPr>
          <w:rFonts w:ascii="Times New Roman" w:hAnsi="Times New Roman"/>
          <w:sz w:val="20"/>
          <w:szCs w:val="20"/>
        </w:rPr>
        <w:t>The feasibility of dual Rx/Tx for 0ms interruption time is determ</w:t>
      </w:r>
      <w:r w:rsidR="00FB4D70">
        <w:rPr>
          <w:rFonts w:ascii="Times New Roman" w:hAnsi="Times New Roman"/>
          <w:sz w:val="20"/>
          <w:szCs w:val="20"/>
        </w:rPr>
        <w:t>ined by the condition</w:t>
      </w:r>
      <w:r>
        <w:rPr>
          <w:rFonts w:ascii="Times New Roman" w:hAnsi="Times New Roman"/>
          <w:sz w:val="20"/>
          <w:szCs w:val="20"/>
        </w:rPr>
        <w:t xml:space="preserve"> of UE RF chains</w:t>
      </w:r>
      <w:r w:rsidR="00FB4D70">
        <w:rPr>
          <w:rFonts w:ascii="Times New Roman" w:hAnsi="Times New Roman"/>
          <w:sz w:val="20"/>
          <w:szCs w:val="20"/>
        </w:rPr>
        <w:t xml:space="preserve"> (e.g., the number and the conduct on deployed spectrum), </w:t>
      </w:r>
      <w:r w:rsidR="00520864">
        <w:rPr>
          <w:rFonts w:ascii="Times New Roman" w:hAnsi="Times New Roman"/>
          <w:sz w:val="20"/>
          <w:szCs w:val="20"/>
        </w:rPr>
        <w:t>which is the same to both DC based and MBB based approaches.</w:t>
      </w:r>
    </w:p>
    <w:p w14:paraId="254DAB6C" w14:textId="2764CFD0" w:rsidR="00520864" w:rsidRDefault="00520864" w:rsidP="00520864">
      <w:pPr>
        <w:rPr>
          <w:sz w:val="20"/>
          <w:szCs w:val="20"/>
        </w:rPr>
      </w:pPr>
      <w:r>
        <w:rPr>
          <w:sz w:val="20"/>
          <w:szCs w:val="20"/>
        </w:rPr>
        <w:t>Hence, it is false to suggest DC based approach would have more limited deployment scenarios than MBB based approaches.</w:t>
      </w:r>
    </w:p>
    <w:p w14:paraId="4EE44CD8" w14:textId="7248163C" w:rsidR="00520864" w:rsidRDefault="00520864" w:rsidP="00520864">
      <w:pPr>
        <w:rPr>
          <w:sz w:val="20"/>
          <w:szCs w:val="20"/>
        </w:rPr>
      </w:pPr>
      <w:bookmarkStart w:id="3" w:name="Observation1"/>
      <w:r w:rsidRPr="00520864">
        <w:rPr>
          <w:b/>
          <w:sz w:val="20"/>
          <w:szCs w:val="20"/>
        </w:rPr>
        <w:t>Observation 1:</w:t>
      </w:r>
      <w:r>
        <w:rPr>
          <w:sz w:val="20"/>
          <w:szCs w:val="20"/>
        </w:rPr>
        <w:t xml:space="preserve"> I</w:t>
      </w:r>
      <w:r w:rsidRPr="00520864">
        <w:rPr>
          <w:sz w:val="20"/>
          <w:szCs w:val="20"/>
        </w:rPr>
        <w:t>t is false to suggest DC based approach would have more limited deployment scenarios than MBB based approaches</w:t>
      </w:r>
      <w:r>
        <w:rPr>
          <w:sz w:val="20"/>
          <w:szCs w:val="20"/>
        </w:rPr>
        <w:t>.</w:t>
      </w:r>
      <w:bookmarkEnd w:id="3"/>
    </w:p>
    <w:p w14:paraId="698D717F" w14:textId="7353C9D6" w:rsidR="00520864" w:rsidRDefault="00933216" w:rsidP="00520864">
      <w:pPr>
        <w:rPr>
          <w:sz w:val="20"/>
          <w:szCs w:val="20"/>
        </w:rPr>
      </w:pPr>
      <w:r>
        <w:rPr>
          <w:sz w:val="20"/>
          <w:szCs w:val="20"/>
        </w:rPr>
        <w:t>Another misstatement is that DC based approach would incur more signaling overhe</w:t>
      </w:r>
      <w:r w:rsidR="00902EDC">
        <w:rPr>
          <w:sz w:val="20"/>
          <w:szCs w:val="20"/>
        </w:rPr>
        <w:t>ad during handover procedure. [1</w:t>
      </w:r>
      <w:r>
        <w:rPr>
          <w:sz w:val="20"/>
          <w:szCs w:val="20"/>
        </w:rPr>
        <w:t>] provides detailed analysis of the call flow for both the DC based</w:t>
      </w:r>
      <w:r w:rsidR="008A6009">
        <w:rPr>
          <w:sz w:val="20"/>
          <w:szCs w:val="20"/>
        </w:rPr>
        <w:t xml:space="preserve"> and MBB based approaches, and arrives at the following observation:</w:t>
      </w:r>
    </w:p>
    <w:p w14:paraId="05C32202" w14:textId="738A7458" w:rsidR="008A6009" w:rsidRDefault="008A6009" w:rsidP="00520864">
      <w:pPr>
        <w:rPr>
          <w:sz w:val="20"/>
          <w:szCs w:val="20"/>
        </w:rPr>
      </w:pPr>
      <w:bookmarkStart w:id="4" w:name="_Ref15228929"/>
      <w:bookmarkStart w:id="5" w:name="Observation2"/>
      <w:r>
        <w:rPr>
          <w:b/>
          <w:sz w:val="20"/>
          <w:szCs w:val="20"/>
        </w:rPr>
        <w:t>Observation 2</w:t>
      </w:r>
      <w:r w:rsidRPr="008A6009">
        <w:rPr>
          <w:b/>
          <w:sz w:val="20"/>
          <w:szCs w:val="20"/>
        </w:rPr>
        <w:t>:</w:t>
      </w:r>
      <w:r w:rsidRPr="008A6009">
        <w:rPr>
          <w:sz w:val="20"/>
          <w:szCs w:val="20"/>
        </w:rPr>
        <w:t xml:space="preserve"> DC based and MBB based approaches </w:t>
      </w:r>
      <w:r>
        <w:rPr>
          <w:sz w:val="20"/>
          <w:szCs w:val="20"/>
        </w:rPr>
        <w:t xml:space="preserve">can </w:t>
      </w:r>
      <w:r w:rsidRPr="008A6009">
        <w:rPr>
          <w:sz w:val="20"/>
          <w:szCs w:val="20"/>
        </w:rPr>
        <w:t>share the same call flow for handover procedure, and have the same amount of Uu and Xn message exchanges.</w:t>
      </w:r>
      <w:bookmarkEnd w:id="4"/>
      <w:bookmarkEnd w:id="5"/>
    </w:p>
    <w:p w14:paraId="2C17B301" w14:textId="1099A072" w:rsidR="0057032B" w:rsidRPr="00520864" w:rsidRDefault="0057032B" w:rsidP="00520864">
      <w:pPr>
        <w:rPr>
          <w:sz w:val="20"/>
          <w:szCs w:val="20"/>
        </w:rPr>
      </w:pPr>
      <w:r>
        <w:rPr>
          <w:sz w:val="20"/>
          <w:szCs w:val="20"/>
        </w:rPr>
        <w:t xml:space="preserve">DC based HO reuses Rel. 15 L2 protocol structure of split bearer for simultaneous connections to both the source and target cells during handover execution. </w:t>
      </w:r>
      <w:r w:rsidR="00851260">
        <w:rPr>
          <w:sz w:val="20"/>
          <w:szCs w:val="20"/>
        </w:rPr>
        <w:t xml:space="preserve">However, </w:t>
      </w:r>
      <w:r w:rsidR="00497959">
        <w:rPr>
          <w:sz w:val="20"/>
          <w:szCs w:val="20"/>
        </w:rPr>
        <w:t>i</w:t>
      </w:r>
      <w:r>
        <w:rPr>
          <w:sz w:val="20"/>
          <w:szCs w:val="20"/>
        </w:rPr>
        <w:t>t doesn’t r</w:t>
      </w:r>
      <w:r w:rsidR="00903FFE">
        <w:rPr>
          <w:sz w:val="20"/>
          <w:szCs w:val="20"/>
        </w:rPr>
        <w:t>equire UE/network to support Rel. 15 DC -</w:t>
      </w:r>
      <w:r>
        <w:rPr>
          <w:sz w:val="20"/>
          <w:szCs w:val="20"/>
        </w:rPr>
        <w:t xml:space="preserve"> e.g., </w:t>
      </w:r>
      <w:r w:rsidR="00903FFE">
        <w:rPr>
          <w:sz w:val="20"/>
          <w:szCs w:val="20"/>
        </w:rPr>
        <w:t xml:space="preserve">the call flow in [1] shows that </w:t>
      </w:r>
      <w:r>
        <w:rPr>
          <w:sz w:val="20"/>
          <w:szCs w:val="20"/>
        </w:rPr>
        <w:t xml:space="preserve">DC related measurement and reporting </w:t>
      </w:r>
      <w:r w:rsidR="00903FFE">
        <w:rPr>
          <w:sz w:val="20"/>
          <w:szCs w:val="20"/>
        </w:rPr>
        <w:t xml:space="preserve">are not needed </w:t>
      </w:r>
      <w:r>
        <w:rPr>
          <w:sz w:val="20"/>
          <w:szCs w:val="20"/>
        </w:rPr>
        <w:t xml:space="preserve">during </w:t>
      </w:r>
      <w:r w:rsidR="00903FFE">
        <w:rPr>
          <w:sz w:val="20"/>
          <w:szCs w:val="20"/>
        </w:rPr>
        <w:t>handover process.</w:t>
      </w:r>
      <w:r w:rsidR="00851260" w:rsidRPr="00851260">
        <w:rPr>
          <w:sz w:val="20"/>
          <w:szCs w:val="20"/>
        </w:rPr>
        <w:t xml:space="preserve"> </w:t>
      </w:r>
      <w:r w:rsidR="00851260">
        <w:rPr>
          <w:sz w:val="20"/>
          <w:szCs w:val="20"/>
        </w:rPr>
        <w:t xml:space="preserve"> Given that </w:t>
      </w:r>
      <w:r w:rsidR="00851260" w:rsidRPr="00F7019F">
        <w:rPr>
          <w:sz w:val="20"/>
          <w:szCs w:val="20"/>
        </w:rPr>
        <w:t xml:space="preserve">DC based HO solutions </w:t>
      </w:r>
      <w:r w:rsidR="00851260">
        <w:rPr>
          <w:sz w:val="20"/>
          <w:szCs w:val="20"/>
        </w:rPr>
        <w:t xml:space="preserve">share the same L2 protocol structure as Rel. 15 DC, it </w:t>
      </w:r>
      <w:r w:rsidR="00851260" w:rsidRPr="00F7019F">
        <w:rPr>
          <w:sz w:val="20"/>
          <w:szCs w:val="20"/>
        </w:rPr>
        <w:t>can also provide network wi</w:t>
      </w:r>
      <w:r w:rsidR="00851260">
        <w:rPr>
          <w:sz w:val="20"/>
          <w:szCs w:val="20"/>
        </w:rPr>
        <w:t>th a range of flexibilities for</w:t>
      </w:r>
      <w:r w:rsidR="00851260" w:rsidRPr="00F7019F">
        <w:rPr>
          <w:sz w:val="20"/>
          <w:szCs w:val="20"/>
        </w:rPr>
        <w:t xml:space="preserve"> targeted enhancements at di</w:t>
      </w:r>
      <w:r w:rsidR="00851260">
        <w:rPr>
          <w:sz w:val="20"/>
          <w:szCs w:val="20"/>
        </w:rPr>
        <w:t>fferent steps of HO execution</w:t>
      </w:r>
      <w:r w:rsidR="00520DFB">
        <w:rPr>
          <w:sz w:val="20"/>
          <w:szCs w:val="20"/>
        </w:rPr>
        <w:t>, if Rel. 15 DC is supported by UE and network</w:t>
      </w:r>
      <w:r w:rsidR="00851260">
        <w:rPr>
          <w:sz w:val="20"/>
          <w:szCs w:val="20"/>
        </w:rPr>
        <w:t xml:space="preserve"> [6</w:t>
      </w:r>
      <w:r w:rsidR="00851260" w:rsidRPr="00F7019F">
        <w:rPr>
          <w:sz w:val="20"/>
          <w:szCs w:val="20"/>
        </w:rPr>
        <w:t>]</w:t>
      </w:r>
      <w:r w:rsidR="00851260">
        <w:rPr>
          <w:sz w:val="20"/>
          <w:szCs w:val="20"/>
        </w:rPr>
        <w:t>.</w:t>
      </w:r>
    </w:p>
    <w:p w14:paraId="37D431B3" w14:textId="2755DF8D" w:rsidR="00D543B4" w:rsidRPr="00033476" w:rsidRDefault="00903FFE" w:rsidP="00D543B4">
      <w:pPr>
        <w:rPr>
          <w:sz w:val="20"/>
          <w:szCs w:val="20"/>
        </w:rPr>
      </w:pPr>
      <w:bookmarkStart w:id="6" w:name="Observation3"/>
      <w:r w:rsidRPr="00903FFE">
        <w:rPr>
          <w:b/>
          <w:sz w:val="20"/>
          <w:szCs w:val="20"/>
        </w:rPr>
        <w:t>Observation 3:</w:t>
      </w:r>
      <w:r w:rsidR="00F7019F">
        <w:rPr>
          <w:b/>
          <w:sz w:val="20"/>
          <w:szCs w:val="20"/>
        </w:rPr>
        <w:t xml:space="preserve"> </w:t>
      </w:r>
      <w:r w:rsidR="00033476">
        <w:rPr>
          <w:sz w:val="20"/>
          <w:szCs w:val="20"/>
        </w:rPr>
        <w:t xml:space="preserve">DC based mechanism for handover interruption time reduction doesn’t </w:t>
      </w:r>
      <w:r w:rsidR="00033476" w:rsidRPr="00033476">
        <w:rPr>
          <w:sz w:val="20"/>
          <w:szCs w:val="20"/>
        </w:rPr>
        <w:t>require UE/network to support Rel. 15 DC</w:t>
      </w:r>
      <w:r w:rsidR="00033476">
        <w:rPr>
          <w:sz w:val="20"/>
          <w:szCs w:val="20"/>
        </w:rPr>
        <w:t xml:space="preserve"> as </w:t>
      </w:r>
      <w:r w:rsidR="008E71D6">
        <w:rPr>
          <w:sz w:val="20"/>
          <w:szCs w:val="20"/>
        </w:rPr>
        <w:t>a pre</w:t>
      </w:r>
      <w:r w:rsidR="00033476">
        <w:rPr>
          <w:sz w:val="20"/>
          <w:szCs w:val="20"/>
        </w:rPr>
        <w:t>requisite.</w:t>
      </w:r>
      <w:bookmarkEnd w:id="6"/>
    </w:p>
    <w:p w14:paraId="6B091B7E" w14:textId="0BC48660" w:rsidR="00D543B4" w:rsidRPr="00D543B4" w:rsidRDefault="00A20D15" w:rsidP="00D543B4">
      <w:pPr>
        <w:pStyle w:val="Heading1"/>
      </w:pPr>
      <w:r>
        <w:t>Difference between</w:t>
      </w:r>
      <w:r w:rsidR="00D543B4">
        <w:t xml:space="preserve"> DC based approach</w:t>
      </w:r>
      <w:r>
        <w:t xml:space="preserve"> and MBB based approaches</w:t>
      </w:r>
    </w:p>
    <w:p w14:paraId="4D27C9D8" w14:textId="65748D9C" w:rsidR="00BA55E2" w:rsidRDefault="00FC0FFF" w:rsidP="00C67719">
      <w:pPr>
        <w:rPr>
          <w:sz w:val="20"/>
          <w:szCs w:val="20"/>
        </w:rPr>
      </w:pPr>
      <w:r>
        <w:rPr>
          <w:sz w:val="20"/>
          <w:szCs w:val="20"/>
        </w:rPr>
        <w:t>In order to reduce handover interruption time</w:t>
      </w:r>
      <w:r w:rsidRPr="00CE2244">
        <w:rPr>
          <w:sz w:val="20"/>
          <w:szCs w:val="20"/>
        </w:rPr>
        <w:t xml:space="preserve"> </w:t>
      </w:r>
      <w:r>
        <w:rPr>
          <w:sz w:val="20"/>
          <w:szCs w:val="20"/>
        </w:rPr>
        <w:t>during handover execution period, both DC based and MBB based approaches use simultaneous data connections t</w:t>
      </w:r>
      <w:r w:rsidR="00902EDC">
        <w:rPr>
          <w:sz w:val="20"/>
          <w:szCs w:val="20"/>
        </w:rPr>
        <w:t>o the source and target cells [1</w:t>
      </w:r>
      <w:r>
        <w:rPr>
          <w:sz w:val="20"/>
          <w:szCs w:val="20"/>
        </w:rPr>
        <w:t>]. But DC based approach re-use</w:t>
      </w:r>
      <w:r w:rsidR="00506F1B">
        <w:rPr>
          <w:sz w:val="20"/>
          <w:szCs w:val="20"/>
        </w:rPr>
        <w:t>s</w:t>
      </w:r>
      <w:r>
        <w:rPr>
          <w:sz w:val="20"/>
          <w:szCs w:val="20"/>
        </w:rPr>
        <w:t xml:space="preserve"> Rel. </w:t>
      </w:r>
      <w:r>
        <w:rPr>
          <w:sz w:val="20"/>
          <w:szCs w:val="20"/>
        </w:rPr>
        <w:lastRenderedPageBreak/>
        <w:t>15 L2 (MAC/RLC/PDCP) protocol structure</w:t>
      </w:r>
      <w:r w:rsidR="00AC10B6">
        <w:rPr>
          <w:sz w:val="20"/>
          <w:szCs w:val="20"/>
        </w:rPr>
        <w:t xml:space="preserve"> of split bearer</w:t>
      </w:r>
      <w:r>
        <w:rPr>
          <w:sz w:val="20"/>
          <w:szCs w:val="20"/>
        </w:rPr>
        <w:t>, while MBB based approach proposes to have a new L2 protocol stack to have PDCP entities on both the source and target cells [2].</w:t>
      </w:r>
      <w:r w:rsidR="00AC10B6">
        <w:rPr>
          <w:sz w:val="20"/>
          <w:szCs w:val="20"/>
        </w:rPr>
        <w:t xml:space="preserve"> Figure 1 (a) illust</w:t>
      </w:r>
      <w:r w:rsidR="0056342D">
        <w:rPr>
          <w:sz w:val="20"/>
          <w:szCs w:val="20"/>
        </w:rPr>
        <w:t>rates the L2 protocol structure</w:t>
      </w:r>
      <w:r w:rsidR="00AC10B6">
        <w:rPr>
          <w:sz w:val="20"/>
          <w:szCs w:val="20"/>
        </w:rPr>
        <w:t xml:space="preserve"> of DC based approach reusing Rel. 15 split bearer structure [3],  and Figure 1 (b) shows the split-within-PDCP approach of MBB based mechanisms [2].</w:t>
      </w:r>
    </w:p>
    <w:p w14:paraId="67FE63AF" w14:textId="2D22C784" w:rsidR="00AC10B6" w:rsidRDefault="00AC10B6" w:rsidP="00AC10B6">
      <w:pPr>
        <w:jc w:val="center"/>
      </w:pPr>
      <w:r w:rsidRPr="00356895">
        <w:object w:dxaOrig="4404" w:dyaOrig="3492" w14:anchorId="37DCC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15pt;height:174.75pt" o:ole="">
            <v:imagedata r:id="rId8" o:title=""/>
          </v:shape>
          <o:OLEObject Type="Embed" ProgID="Visio.Drawing.15" ShapeID="_x0000_i1025" DrawAspect="Content" ObjectID="_1627407447" r:id="rId9"/>
        </w:object>
      </w:r>
    </w:p>
    <w:p w14:paraId="61B9BA6E" w14:textId="2D31F97C" w:rsidR="00AC10B6" w:rsidRPr="00AC10B6" w:rsidRDefault="00AC10B6" w:rsidP="00AC10B6">
      <w:pPr>
        <w:jc w:val="center"/>
        <w:rPr>
          <w:b/>
          <w:sz w:val="20"/>
          <w:szCs w:val="20"/>
        </w:rPr>
      </w:pPr>
      <w:r w:rsidRPr="00AC10B6">
        <w:rPr>
          <w:b/>
        </w:rPr>
        <w:t>(a)</w:t>
      </w:r>
    </w:p>
    <w:p w14:paraId="35939A96" w14:textId="53CAE35F" w:rsidR="009955F0" w:rsidRDefault="009955F0" w:rsidP="00C67719">
      <w:pPr>
        <w:rPr>
          <w:sz w:val="20"/>
          <w:szCs w:val="20"/>
        </w:rPr>
      </w:pPr>
      <w:r w:rsidRPr="009955F0">
        <w:rPr>
          <w:sz w:val="20"/>
          <w:szCs w:val="20"/>
        </w:rPr>
        <w:object w:dxaOrig="15975" w:dyaOrig="8670" w14:anchorId="6588FFD1">
          <v:shape id="_x0000_i1026" type="#_x0000_t75" style="width:431.25pt;height:233.65pt" o:ole="">
            <v:imagedata r:id="rId10" o:title=""/>
          </v:shape>
          <o:OLEObject Type="Embed" ProgID="Visio.Drawing.15" ShapeID="_x0000_i1026" DrawAspect="Content" ObjectID="_1627407448" r:id="rId11"/>
        </w:object>
      </w:r>
    </w:p>
    <w:p w14:paraId="713CD69F" w14:textId="46028407" w:rsidR="00AC10B6" w:rsidRDefault="00AC10B6" w:rsidP="00AC10B6">
      <w:pPr>
        <w:jc w:val="center"/>
        <w:rPr>
          <w:b/>
          <w:sz w:val="20"/>
          <w:szCs w:val="20"/>
        </w:rPr>
      </w:pPr>
      <w:r w:rsidRPr="00AC10B6">
        <w:rPr>
          <w:b/>
          <w:sz w:val="20"/>
          <w:szCs w:val="20"/>
        </w:rPr>
        <w:t>(b)</w:t>
      </w:r>
    </w:p>
    <w:p w14:paraId="79C76C65" w14:textId="1205D48A" w:rsidR="00F67C15" w:rsidRDefault="00F67C15" w:rsidP="00F125D1">
      <w:pPr>
        <w:spacing w:before="240" w:after="240"/>
        <w:jc w:val="center"/>
        <w:rPr>
          <w:b/>
          <w:sz w:val="20"/>
          <w:szCs w:val="20"/>
        </w:rPr>
      </w:pPr>
      <w:r>
        <w:rPr>
          <w:b/>
          <w:sz w:val="20"/>
          <w:szCs w:val="20"/>
        </w:rPr>
        <w:t>Figure 1: L2 Protocol Structure</w:t>
      </w:r>
      <w:r w:rsidR="000F285F">
        <w:rPr>
          <w:b/>
          <w:sz w:val="20"/>
          <w:szCs w:val="20"/>
        </w:rPr>
        <w:t>s</w:t>
      </w:r>
      <w:r>
        <w:rPr>
          <w:b/>
          <w:sz w:val="20"/>
          <w:szCs w:val="20"/>
        </w:rPr>
        <w:t xml:space="preserve"> of DC based and MBB based Mechanisms</w:t>
      </w:r>
    </w:p>
    <w:p w14:paraId="0BF9711A" w14:textId="068ACA74" w:rsidR="00375A32" w:rsidRPr="00375A32" w:rsidRDefault="00375A32" w:rsidP="00375A32">
      <w:pPr>
        <w:rPr>
          <w:sz w:val="20"/>
          <w:szCs w:val="20"/>
        </w:rPr>
      </w:pPr>
      <w:r>
        <w:rPr>
          <w:sz w:val="20"/>
          <w:szCs w:val="20"/>
        </w:rPr>
        <w:t xml:space="preserve">[4] </w:t>
      </w:r>
      <w:r w:rsidRPr="00375A32">
        <w:rPr>
          <w:sz w:val="20"/>
          <w:szCs w:val="20"/>
        </w:rPr>
        <w:t>analyses and compares the additional specification works required for DC based and MBB based enhancement</w:t>
      </w:r>
      <w:r w:rsidR="008C2D7B">
        <w:rPr>
          <w:sz w:val="20"/>
          <w:szCs w:val="20"/>
        </w:rPr>
        <w:t>s</w:t>
      </w:r>
      <w:r w:rsidRPr="00375A32">
        <w:rPr>
          <w:sz w:val="20"/>
          <w:szCs w:val="20"/>
        </w:rPr>
        <w:t xml:space="preserve"> for handover interruption time reduction, which leads to the</w:t>
      </w:r>
      <w:r w:rsidR="009C6A4A">
        <w:rPr>
          <w:sz w:val="20"/>
          <w:szCs w:val="20"/>
        </w:rPr>
        <w:t xml:space="preserve"> following</w:t>
      </w:r>
      <w:r w:rsidRPr="00375A32">
        <w:rPr>
          <w:sz w:val="20"/>
          <w:szCs w:val="20"/>
        </w:rPr>
        <w:t xml:space="preserve"> obse</w:t>
      </w:r>
      <w:r w:rsidR="009C6A4A">
        <w:rPr>
          <w:sz w:val="20"/>
          <w:szCs w:val="20"/>
        </w:rPr>
        <w:t>rvations</w:t>
      </w:r>
      <w:r w:rsidRPr="00375A32">
        <w:rPr>
          <w:sz w:val="20"/>
          <w:szCs w:val="20"/>
        </w:rPr>
        <w:t>:</w:t>
      </w:r>
    </w:p>
    <w:p w14:paraId="7B74AE76" w14:textId="7F03B251" w:rsidR="00375A32" w:rsidRPr="00375A32" w:rsidRDefault="00CE2FFD" w:rsidP="00375A32">
      <w:pPr>
        <w:rPr>
          <w:sz w:val="20"/>
          <w:szCs w:val="20"/>
        </w:rPr>
      </w:pPr>
      <w:bookmarkStart w:id="7" w:name="Observation4"/>
      <w:r>
        <w:rPr>
          <w:b/>
          <w:sz w:val="20"/>
          <w:szCs w:val="20"/>
        </w:rPr>
        <w:t>Observation 4</w:t>
      </w:r>
      <w:r w:rsidR="00375A32" w:rsidRPr="00375A32">
        <w:rPr>
          <w:b/>
          <w:sz w:val="20"/>
          <w:szCs w:val="20"/>
        </w:rPr>
        <w:t>:</w:t>
      </w:r>
      <w:r w:rsidR="00375A32" w:rsidRPr="00375A32">
        <w:rPr>
          <w:sz w:val="20"/>
          <w:szCs w:val="20"/>
        </w:rPr>
        <w:t xml:space="preserve"> Rel. 15 L2 protocol structure for DC can be reused with minimal specification works for handover interruption reduction, and it can fully support functionalities for URLLC and Industrial IoT services during handover.</w:t>
      </w:r>
      <w:bookmarkEnd w:id="7"/>
    </w:p>
    <w:p w14:paraId="75CD72D7" w14:textId="2F96A50B" w:rsidR="00375A32" w:rsidRDefault="0020559A" w:rsidP="00375A32">
      <w:pPr>
        <w:rPr>
          <w:sz w:val="20"/>
          <w:szCs w:val="20"/>
        </w:rPr>
      </w:pPr>
      <w:bookmarkStart w:id="8" w:name="Observation5"/>
      <w:r>
        <w:rPr>
          <w:b/>
          <w:sz w:val="20"/>
          <w:szCs w:val="20"/>
        </w:rPr>
        <w:t>Observation 5</w:t>
      </w:r>
      <w:r w:rsidR="00375A32" w:rsidRPr="00375A32">
        <w:rPr>
          <w:b/>
          <w:sz w:val="20"/>
          <w:szCs w:val="20"/>
        </w:rPr>
        <w:t>:</w:t>
      </w:r>
      <w:r w:rsidR="00375A32" w:rsidRPr="00375A32">
        <w:rPr>
          <w:sz w:val="20"/>
          <w:szCs w:val="20"/>
        </w:rPr>
        <w:t xml:space="preserve"> MBB based approaches deviate from Rel. 15 L2 protocol structure, and requires significant amount of specification works to supports functionalities needed by URLLC and Industrial IoT services during handover.</w:t>
      </w:r>
      <w:bookmarkEnd w:id="8"/>
    </w:p>
    <w:p w14:paraId="7C8C3840" w14:textId="2E594B85" w:rsidR="009C6A4A" w:rsidRDefault="009C6A4A" w:rsidP="00375A32">
      <w:pPr>
        <w:rPr>
          <w:sz w:val="20"/>
          <w:szCs w:val="20"/>
        </w:rPr>
      </w:pPr>
      <w:r>
        <w:rPr>
          <w:sz w:val="20"/>
          <w:szCs w:val="20"/>
        </w:rPr>
        <w:t xml:space="preserve">The difference in L2 protocol structures between DC based and MBB based mechanisms </w:t>
      </w:r>
      <w:r w:rsidR="00CB3071">
        <w:rPr>
          <w:sz w:val="20"/>
          <w:szCs w:val="20"/>
        </w:rPr>
        <w:t xml:space="preserve">also </w:t>
      </w:r>
      <w:r w:rsidR="00D57FEE">
        <w:rPr>
          <w:sz w:val="20"/>
          <w:szCs w:val="20"/>
        </w:rPr>
        <w:t xml:space="preserve">leads to very different </w:t>
      </w:r>
      <w:r w:rsidR="00D57FEE" w:rsidRPr="00D57FEE">
        <w:rPr>
          <w:sz w:val="20"/>
          <w:szCs w:val="20"/>
        </w:rPr>
        <w:t>characteristics in data transmission during handover execution period</w:t>
      </w:r>
      <w:r w:rsidR="00CB3071">
        <w:rPr>
          <w:sz w:val="20"/>
          <w:szCs w:val="20"/>
        </w:rPr>
        <w:t xml:space="preserve"> [5]</w:t>
      </w:r>
      <w:r w:rsidR="00D57FEE">
        <w:rPr>
          <w:sz w:val="20"/>
          <w:szCs w:val="20"/>
        </w:rPr>
        <w:t>:</w:t>
      </w:r>
    </w:p>
    <w:p w14:paraId="4B0C6C69" w14:textId="7A7415FB" w:rsidR="00CB3071" w:rsidRDefault="00CB3071" w:rsidP="00CB3071">
      <w:pPr>
        <w:pStyle w:val="ListParagraph"/>
        <w:numPr>
          <w:ilvl w:val="0"/>
          <w:numId w:val="5"/>
        </w:numPr>
        <w:rPr>
          <w:rFonts w:ascii="Times New Roman" w:hAnsi="Times New Roman"/>
          <w:sz w:val="20"/>
          <w:szCs w:val="20"/>
        </w:rPr>
      </w:pPr>
      <w:r w:rsidRPr="00EA72E8">
        <w:rPr>
          <w:rFonts w:ascii="Times New Roman" w:hAnsi="Times New Roman"/>
          <w:sz w:val="20"/>
          <w:szCs w:val="20"/>
        </w:rPr>
        <w:t xml:space="preserve">As illustrated </w:t>
      </w:r>
      <w:r>
        <w:rPr>
          <w:rFonts w:ascii="Times New Roman" w:hAnsi="Times New Roman"/>
          <w:sz w:val="20"/>
          <w:szCs w:val="20"/>
        </w:rPr>
        <w:t>in Figure 2</w:t>
      </w:r>
      <w:r w:rsidRPr="00EA72E8">
        <w:rPr>
          <w:rFonts w:ascii="Times New Roman" w:hAnsi="Times New Roman"/>
          <w:sz w:val="20"/>
          <w:szCs w:val="20"/>
        </w:rPr>
        <w:t xml:space="preserve"> (a), </w:t>
      </w:r>
      <w:r>
        <w:rPr>
          <w:rFonts w:ascii="Times New Roman" w:hAnsi="Times New Roman"/>
          <w:sz w:val="20"/>
          <w:szCs w:val="20"/>
        </w:rPr>
        <w:t xml:space="preserve">DC based HO can utilize Rel. 15 PDCP duplication, and send duplicate PDCP PDUs over both the source and target cells to reduce transmission latency; that is, for each PDCP </w:t>
      </w:r>
      <w:r>
        <w:rPr>
          <w:rFonts w:ascii="Times New Roman" w:hAnsi="Times New Roman"/>
          <w:sz w:val="20"/>
          <w:szCs w:val="20"/>
        </w:rPr>
        <w:lastRenderedPageBreak/>
        <w:t>PDU, the transmitted copies from the source and target cells are complementary and exchangeable to each other;</w:t>
      </w:r>
    </w:p>
    <w:p w14:paraId="42E43440" w14:textId="1D2B49F2" w:rsidR="00CB3071" w:rsidRDefault="00CB3071" w:rsidP="00CB3071">
      <w:pPr>
        <w:pStyle w:val="ListParagraph"/>
        <w:numPr>
          <w:ilvl w:val="0"/>
          <w:numId w:val="5"/>
        </w:numPr>
        <w:rPr>
          <w:rFonts w:ascii="Times New Roman" w:hAnsi="Times New Roman"/>
          <w:sz w:val="20"/>
          <w:szCs w:val="20"/>
        </w:rPr>
      </w:pPr>
      <w:r>
        <w:rPr>
          <w:rFonts w:ascii="Times New Roman" w:hAnsi="Times New Roman"/>
          <w:sz w:val="20"/>
          <w:szCs w:val="20"/>
        </w:rPr>
        <w:t>Since MBB based approaches need to perform ROHC and security operations on both the source and target cells, duplication can be done only on PDCP SDUs, as shown in Figure 2 (b); that is, a</w:t>
      </w:r>
      <w:r w:rsidRPr="00A102E9">
        <w:rPr>
          <w:rFonts w:ascii="Times New Roman" w:hAnsi="Times New Roman"/>
          <w:sz w:val="20"/>
          <w:szCs w:val="20"/>
        </w:rPr>
        <w:t xml:space="preserve"> PDU of SN=n and with the source cell context is not exchangeable/replaceable with a PDU of the same SN=n b</w:t>
      </w:r>
      <w:r>
        <w:rPr>
          <w:rFonts w:ascii="Times New Roman" w:hAnsi="Times New Roman"/>
          <w:sz w:val="20"/>
          <w:szCs w:val="20"/>
        </w:rPr>
        <w:t>ut with the target cell context, and</w:t>
      </w:r>
      <w:r w:rsidRPr="00A102E9">
        <w:rPr>
          <w:rFonts w:ascii="Times New Roman" w:hAnsi="Times New Roman"/>
          <w:sz w:val="20"/>
          <w:szCs w:val="20"/>
        </w:rPr>
        <w:t xml:space="preserve"> PDUs of consecutive SN but with contexts not of the same cell can’t be d</w:t>
      </w:r>
      <w:r>
        <w:rPr>
          <w:rFonts w:ascii="Times New Roman" w:hAnsi="Times New Roman"/>
          <w:sz w:val="20"/>
          <w:szCs w:val="20"/>
        </w:rPr>
        <w:t>elivered for ROHC decompression;</w:t>
      </w:r>
      <w:r w:rsidR="00B5518F">
        <w:rPr>
          <w:rFonts w:ascii="Times New Roman" w:hAnsi="Times New Roman"/>
          <w:sz w:val="20"/>
          <w:szCs w:val="20"/>
        </w:rPr>
        <w:t xml:space="preserve"> hence, </w:t>
      </w:r>
      <w:r w:rsidR="00142094">
        <w:rPr>
          <w:rFonts w:ascii="Times New Roman" w:hAnsi="Times New Roman"/>
          <w:sz w:val="20"/>
          <w:szCs w:val="20"/>
        </w:rPr>
        <w:t xml:space="preserve">at least </w:t>
      </w:r>
      <w:r w:rsidR="00B5518F">
        <w:rPr>
          <w:rFonts w:ascii="Times New Roman" w:hAnsi="Times New Roman"/>
          <w:sz w:val="20"/>
          <w:szCs w:val="20"/>
        </w:rPr>
        <w:t>either all PDUs from the source cells or all PDUs from the target cells have to be received correctly;</w:t>
      </w:r>
    </w:p>
    <w:p w14:paraId="15A5F8A5" w14:textId="651876AE" w:rsidR="00CB3071" w:rsidRPr="00CB3071" w:rsidRDefault="00CB3071" w:rsidP="00CB3071">
      <w:pPr>
        <w:pStyle w:val="ListParagraph"/>
        <w:numPr>
          <w:ilvl w:val="0"/>
          <w:numId w:val="5"/>
        </w:numPr>
        <w:rPr>
          <w:rFonts w:ascii="Times New Roman" w:hAnsi="Times New Roman"/>
          <w:sz w:val="20"/>
          <w:szCs w:val="20"/>
        </w:rPr>
      </w:pPr>
      <w:r w:rsidRPr="00CB3071">
        <w:rPr>
          <w:rFonts w:ascii="Times New Roman" w:hAnsi="Times New Roman"/>
          <w:sz w:val="20"/>
          <w:szCs w:val="20"/>
        </w:rPr>
        <w:t>Given the significant specification works required for MBB duplicat</w:t>
      </w:r>
      <w:r>
        <w:rPr>
          <w:rFonts w:ascii="Times New Roman" w:hAnsi="Times New Roman"/>
          <w:sz w:val="20"/>
          <w:szCs w:val="20"/>
        </w:rPr>
        <w:t>ion, [2</w:t>
      </w:r>
      <w:r w:rsidRPr="00CB3071">
        <w:rPr>
          <w:rFonts w:ascii="Times New Roman" w:hAnsi="Times New Roman"/>
          <w:sz w:val="20"/>
          <w:szCs w:val="20"/>
        </w:rPr>
        <w:t xml:space="preserve">] proposes transmissions over both the source and target cells but with no duplication; </w:t>
      </w:r>
      <w:r>
        <w:rPr>
          <w:rFonts w:ascii="Times New Roman" w:hAnsi="Times New Roman"/>
          <w:sz w:val="20"/>
          <w:szCs w:val="20"/>
        </w:rPr>
        <w:t>as shown in Figure 2</w:t>
      </w:r>
      <w:r w:rsidRPr="00CB3071">
        <w:rPr>
          <w:rFonts w:ascii="Times New Roman" w:hAnsi="Times New Roman"/>
          <w:sz w:val="20"/>
          <w:szCs w:val="20"/>
        </w:rPr>
        <w:t xml:space="preserve"> (c), this means PDUs from both the source and target cells have to be received successfully</w:t>
      </w:r>
      <w:r w:rsidR="00B5518F">
        <w:rPr>
          <w:rFonts w:ascii="Times New Roman" w:hAnsi="Times New Roman"/>
          <w:sz w:val="20"/>
          <w:szCs w:val="20"/>
        </w:rPr>
        <w:t xml:space="preserve"> before delivery to upper layer can occur</w:t>
      </w:r>
      <w:r w:rsidRPr="00CB3071">
        <w:rPr>
          <w:rFonts w:ascii="Times New Roman" w:hAnsi="Times New Roman"/>
          <w:sz w:val="20"/>
          <w:szCs w:val="20"/>
        </w:rPr>
        <w:t>.</w:t>
      </w:r>
    </w:p>
    <w:p w14:paraId="2FD053F8" w14:textId="2D0E1668" w:rsidR="00BA55E2" w:rsidRPr="006840C6" w:rsidRDefault="00292D94" w:rsidP="00BA55E2">
      <w:pPr>
        <w:jc w:val="center"/>
        <w:rPr>
          <w:sz w:val="20"/>
          <w:szCs w:val="20"/>
        </w:rPr>
      </w:pPr>
      <w:r w:rsidRPr="00292D94">
        <w:rPr>
          <w:noProof/>
          <w:lang w:eastAsia="zh-CN"/>
        </w:rPr>
        <w:drawing>
          <wp:inline distT="0" distB="0" distL="0" distR="0" wp14:anchorId="7A6E8608" wp14:editId="1BFF5289">
            <wp:extent cx="5083810" cy="38373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83810" cy="3837305"/>
                    </a:xfrm>
                    <a:prstGeom prst="rect">
                      <a:avLst/>
                    </a:prstGeom>
                    <a:noFill/>
                    <a:ln>
                      <a:noFill/>
                    </a:ln>
                  </pic:spPr>
                </pic:pic>
              </a:graphicData>
            </a:graphic>
          </wp:inline>
        </w:drawing>
      </w:r>
    </w:p>
    <w:p w14:paraId="0A77422F" w14:textId="27B37681" w:rsidR="00BA55E2" w:rsidRPr="00FC0FFF" w:rsidRDefault="00CB3071" w:rsidP="00FC0FFF">
      <w:pPr>
        <w:spacing w:before="240" w:after="240"/>
        <w:jc w:val="center"/>
        <w:rPr>
          <w:b/>
          <w:sz w:val="20"/>
          <w:szCs w:val="20"/>
          <w:lang w:val="en-GB"/>
        </w:rPr>
      </w:pPr>
      <w:r>
        <w:rPr>
          <w:b/>
          <w:sz w:val="20"/>
          <w:szCs w:val="20"/>
          <w:lang w:val="en-GB"/>
        </w:rPr>
        <w:t>Figure 2</w:t>
      </w:r>
      <w:r w:rsidR="00BA55E2">
        <w:rPr>
          <w:b/>
          <w:sz w:val="20"/>
          <w:szCs w:val="20"/>
          <w:lang w:val="en-GB"/>
        </w:rPr>
        <w:t>:</w:t>
      </w:r>
      <w:r w:rsidR="00BA55E2">
        <w:rPr>
          <w:b/>
          <w:sz w:val="20"/>
          <w:szCs w:val="20"/>
          <w:lang w:val="en-GB"/>
        </w:rPr>
        <w:tab/>
        <w:t>Characteristics of PDCP PDUs Dependency for Successful Transmission</w:t>
      </w:r>
    </w:p>
    <w:p w14:paraId="6179A5BE" w14:textId="15C062E1" w:rsidR="00363F7A" w:rsidRPr="00BE2719" w:rsidRDefault="00BE2719" w:rsidP="00BE2719">
      <w:pPr>
        <w:rPr>
          <w:sz w:val="20"/>
          <w:szCs w:val="20"/>
        </w:rPr>
      </w:pPr>
      <w:r>
        <w:rPr>
          <w:sz w:val="20"/>
          <w:szCs w:val="20"/>
        </w:rPr>
        <w:t xml:space="preserve">These different transmission characteristics accomplish large discrepancies in transmission reliability and interruption time, as </w:t>
      </w:r>
      <w:r w:rsidR="00F72B98">
        <w:rPr>
          <w:sz w:val="20"/>
          <w:szCs w:val="20"/>
        </w:rPr>
        <w:t>shown in Figure 3 [5].</w:t>
      </w:r>
      <w:r>
        <w:rPr>
          <w:sz w:val="20"/>
          <w:szCs w:val="20"/>
        </w:rPr>
        <w:t xml:space="preserve"> </w:t>
      </w:r>
    </w:p>
    <w:p w14:paraId="78364A53" w14:textId="7056E9E4" w:rsidR="00DA5F04" w:rsidRPr="00DA5F04" w:rsidRDefault="00363F7A" w:rsidP="00DA5F04">
      <w:pPr>
        <w:pStyle w:val="ListParagraph"/>
        <w:ind w:left="0"/>
        <w:rPr>
          <w:rFonts w:ascii="Times New Roman" w:hAnsi="Times New Roman"/>
          <w:sz w:val="20"/>
          <w:szCs w:val="20"/>
        </w:rPr>
      </w:pPr>
      <w:bookmarkStart w:id="9" w:name="Observation6"/>
      <w:r w:rsidRPr="00944CEB">
        <w:rPr>
          <w:rFonts w:ascii="Times New Roman" w:hAnsi="Times New Roman"/>
          <w:b/>
          <w:sz w:val="20"/>
          <w:szCs w:val="20"/>
        </w:rPr>
        <w:t>O</w:t>
      </w:r>
      <w:r w:rsidR="00DE1BE0">
        <w:rPr>
          <w:rFonts w:ascii="Times New Roman" w:hAnsi="Times New Roman"/>
          <w:b/>
          <w:sz w:val="20"/>
          <w:szCs w:val="20"/>
        </w:rPr>
        <w:t>bservation 6</w:t>
      </w:r>
      <w:r w:rsidRPr="00944CEB">
        <w:rPr>
          <w:rFonts w:ascii="Times New Roman" w:hAnsi="Times New Roman"/>
          <w:b/>
          <w:sz w:val="20"/>
          <w:szCs w:val="20"/>
        </w:rPr>
        <w:t>:</w:t>
      </w:r>
      <w:r w:rsidRPr="00944CEB">
        <w:rPr>
          <w:rFonts w:ascii="Times New Roman" w:hAnsi="Times New Roman"/>
          <w:sz w:val="20"/>
          <w:szCs w:val="20"/>
        </w:rPr>
        <w:t xml:space="preserve"> </w:t>
      </w:r>
      <w:r w:rsidR="006205F6">
        <w:rPr>
          <w:rFonts w:ascii="Times New Roman" w:hAnsi="Times New Roman"/>
          <w:sz w:val="20"/>
          <w:szCs w:val="20"/>
        </w:rPr>
        <w:t>DC based handover experiences much lower interruption time than Rel. 15 handover and MBB based handover.</w:t>
      </w:r>
      <w:bookmarkEnd w:id="9"/>
      <w:r w:rsidR="006205F6">
        <w:rPr>
          <w:rFonts w:ascii="Times New Roman" w:hAnsi="Times New Roman"/>
          <w:sz w:val="20"/>
          <w:szCs w:val="20"/>
        </w:rPr>
        <w:t xml:space="preserve"> </w:t>
      </w:r>
    </w:p>
    <w:p w14:paraId="3E1F8426" w14:textId="07189BE7" w:rsidR="00363F7A" w:rsidRPr="00576CAB" w:rsidRDefault="00BE2719" w:rsidP="00363F7A">
      <w:pPr>
        <w:rPr>
          <w:sz w:val="20"/>
          <w:szCs w:val="20"/>
        </w:rPr>
      </w:pPr>
      <w:bookmarkStart w:id="10" w:name="Observation7"/>
      <w:r>
        <w:rPr>
          <w:b/>
          <w:sz w:val="20"/>
          <w:szCs w:val="20"/>
        </w:rPr>
        <w:t>O</w:t>
      </w:r>
      <w:r w:rsidR="00E24A9E">
        <w:rPr>
          <w:b/>
          <w:sz w:val="20"/>
          <w:szCs w:val="20"/>
        </w:rPr>
        <w:t>bservation 7</w:t>
      </w:r>
      <w:r w:rsidR="00363F7A" w:rsidRPr="0050696B">
        <w:rPr>
          <w:b/>
          <w:sz w:val="20"/>
          <w:szCs w:val="20"/>
        </w:rPr>
        <w:t>:</w:t>
      </w:r>
      <w:r w:rsidR="00363F7A">
        <w:rPr>
          <w:sz w:val="20"/>
          <w:szCs w:val="20"/>
        </w:rPr>
        <w:t xml:space="preserve"> </w:t>
      </w:r>
      <w:r w:rsidR="006205F6">
        <w:rPr>
          <w:sz w:val="20"/>
          <w:szCs w:val="20"/>
        </w:rPr>
        <w:t xml:space="preserve">If duplication is not supported, </w:t>
      </w:r>
      <w:r w:rsidR="00363F7A">
        <w:rPr>
          <w:sz w:val="20"/>
          <w:szCs w:val="20"/>
        </w:rPr>
        <w:t>MBB based</w:t>
      </w:r>
      <w:r w:rsidR="006205F6">
        <w:rPr>
          <w:sz w:val="20"/>
          <w:szCs w:val="20"/>
        </w:rPr>
        <w:t xml:space="preserve"> approach would perform even worse than Rel. 15 handover in terms of </w:t>
      </w:r>
      <w:r w:rsidR="00842B51">
        <w:rPr>
          <w:sz w:val="20"/>
          <w:szCs w:val="20"/>
        </w:rPr>
        <w:t xml:space="preserve">reliability and </w:t>
      </w:r>
      <w:r w:rsidR="006205F6">
        <w:rPr>
          <w:sz w:val="20"/>
          <w:szCs w:val="20"/>
        </w:rPr>
        <w:t>interruption time.</w:t>
      </w:r>
      <w:bookmarkEnd w:id="10"/>
    </w:p>
    <w:p w14:paraId="001AADD0" w14:textId="521EF682" w:rsidR="008075B9" w:rsidRPr="00AE1366" w:rsidRDefault="008075B9" w:rsidP="00363F7A">
      <w:pPr>
        <w:spacing w:before="240" w:after="240"/>
        <w:rPr>
          <w:sz w:val="20"/>
          <w:szCs w:val="20"/>
        </w:rPr>
      </w:pPr>
      <w:bookmarkStart w:id="11" w:name="Proposal3"/>
      <w:bookmarkStart w:id="12" w:name="Proposal"/>
      <w:r>
        <w:rPr>
          <w:sz w:val="20"/>
          <w:szCs w:val="20"/>
        </w:rPr>
        <w:t xml:space="preserve">In summary, </w:t>
      </w:r>
      <w:r w:rsidR="0043088C">
        <w:rPr>
          <w:sz w:val="20"/>
          <w:szCs w:val="20"/>
        </w:rPr>
        <w:t xml:space="preserve">by having separate PDCP functionalities on both the source and target cells for a radio bearer, </w:t>
      </w:r>
      <w:r>
        <w:rPr>
          <w:sz w:val="20"/>
          <w:szCs w:val="20"/>
        </w:rPr>
        <w:t>MBB based approaches deviate from Rel. 15 L2 pro</w:t>
      </w:r>
      <w:r w:rsidR="0043088C">
        <w:rPr>
          <w:sz w:val="20"/>
          <w:szCs w:val="20"/>
        </w:rPr>
        <w:t>tocol struct</w:t>
      </w:r>
      <w:r w:rsidR="006836E3">
        <w:rPr>
          <w:sz w:val="20"/>
          <w:szCs w:val="20"/>
        </w:rPr>
        <w:t>ure, which doesn’t address any real issue</w:t>
      </w:r>
      <w:r w:rsidR="0043088C">
        <w:rPr>
          <w:sz w:val="20"/>
          <w:szCs w:val="20"/>
        </w:rPr>
        <w:t xml:space="preserve"> but lead to serious performance degradation and significant complexity in s</w:t>
      </w:r>
      <w:r w:rsidR="00AE1366">
        <w:rPr>
          <w:sz w:val="20"/>
          <w:szCs w:val="20"/>
        </w:rPr>
        <w:t>pecification works. Furthermore, not supporting duplication as suggested by [2] deviates also from the principle of “Make Before Break”</w:t>
      </w:r>
      <w:r w:rsidR="00D84D19">
        <w:rPr>
          <w:rStyle w:val="FootnoteReference"/>
          <w:sz w:val="20"/>
          <w:szCs w:val="20"/>
        </w:rPr>
        <w:footnoteReference w:id="1"/>
      </w:r>
      <w:r w:rsidR="00AE1366">
        <w:rPr>
          <w:sz w:val="20"/>
          <w:szCs w:val="20"/>
        </w:rPr>
        <w:t xml:space="preserve">, as the transmission paths from the </w:t>
      </w:r>
      <w:r w:rsidR="00AE1366">
        <w:rPr>
          <w:sz w:val="20"/>
          <w:szCs w:val="20"/>
        </w:rPr>
        <w:lastRenderedPageBreak/>
        <w:t xml:space="preserve">source cell and target cell become critical, not complementary, to each other, which leads to worse performance than Rel. 15 HO, as it is determined by the weaker link between the source and target cells. </w:t>
      </w:r>
    </w:p>
    <w:p w14:paraId="48C7A4E2" w14:textId="0D631E6D" w:rsidR="0061184B" w:rsidRDefault="00363F7A" w:rsidP="00AE1366">
      <w:pPr>
        <w:spacing w:before="240" w:after="240"/>
        <w:rPr>
          <w:sz w:val="20"/>
          <w:szCs w:val="20"/>
        </w:rPr>
      </w:pPr>
      <w:r w:rsidRPr="00944CEB">
        <w:rPr>
          <w:b/>
          <w:sz w:val="20"/>
          <w:szCs w:val="20"/>
        </w:rPr>
        <w:t>Proposal:</w:t>
      </w:r>
      <w:r w:rsidRPr="00944CEB">
        <w:rPr>
          <w:sz w:val="20"/>
          <w:szCs w:val="20"/>
        </w:rPr>
        <w:t xml:space="preserve"> </w:t>
      </w:r>
      <w:r>
        <w:rPr>
          <w:sz w:val="20"/>
          <w:szCs w:val="20"/>
        </w:rPr>
        <w:t>Rel. 15 L2 protocol structure for DC should be taken as baseline for data transmission during handover for interruption time reduction</w:t>
      </w:r>
      <w:r w:rsidRPr="00944CEB">
        <w:rPr>
          <w:sz w:val="20"/>
          <w:szCs w:val="20"/>
        </w:rPr>
        <w:t>.</w:t>
      </w:r>
      <w:bookmarkEnd w:id="11"/>
      <w:bookmarkEnd w:id="12"/>
    </w:p>
    <w:p w14:paraId="109E0FEF" w14:textId="554C1AAB" w:rsidR="001F477B" w:rsidRDefault="001F477B" w:rsidP="001F477B">
      <w:pPr>
        <w:spacing w:before="240" w:after="240"/>
        <w:jc w:val="center"/>
        <w:rPr>
          <w:sz w:val="20"/>
          <w:szCs w:val="20"/>
        </w:rPr>
      </w:pPr>
      <w:r>
        <w:rPr>
          <w:noProof/>
          <w:lang w:eastAsia="zh-CN"/>
        </w:rPr>
        <w:drawing>
          <wp:inline distT="0" distB="0" distL="0" distR="0" wp14:anchorId="63A7FF5D" wp14:editId="3EFC8C8B">
            <wp:extent cx="4572000" cy="3661410"/>
            <wp:effectExtent l="0" t="0" r="0" b="1524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0EBDD4" w14:textId="1AED7DC3" w:rsidR="001F477B" w:rsidRPr="001F477B" w:rsidRDefault="001F477B" w:rsidP="001F477B">
      <w:pPr>
        <w:spacing w:before="240" w:after="240"/>
        <w:jc w:val="center"/>
        <w:rPr>
          <w:b/>
          <w:sz w:val="20"/>
          <w:szCs w:val="20"/>
        </w:rPr>
      </w:pPr>
      <w:r w:rsidRPr="001F477B">
        <w:rPr>
          <w:b/>
          <w:sz w:val="20"/>
          <w:szCs w:val="20"/>
        </w:rPr>
        <w:t>Figure 3</w:t>
      </w:r>
      <w:r>
        <w:rPr>
          <w:b/>
          <w:sz w:val="20"/>
          <w:szCs w:val="20"/>
        </w:rPr>
        <w:t xml:space="preserve">: </w:t>
      </w:r>
      <w:r w:rsidRPr="001F477B">
        <w:rPr>
          <w:b/>
          <w:sz w:val="20"/>
          <w:szCs w:val="20"/>
        </w:rPr>
        <w:t>Average Interruption Time during Handover</w:t>
      </w:r>
    </w:p>
    <w:p w14:paraId="18B94AA5" w14:textId="4F262795" w:rsidR="00157FC3" w:rsidRPr="00493C77" w:rsidRDefault="00747F48" w:rsidP="00493C77">
      <w:pPr>
        <w:pStyle w:val="Heading1"/>
      </w:pPr>
      <w:bookmarkStart w:id="13" w:name="_Ref129681832"/>
      <w:r w:rsidRPr="00493C77">
        <w:t>Conclusion</w:t>
      </w:r>
      <w:r w:rsidR="006B1FD5" w:rsidRPr="00493C77">
        <w:t>s</w:t>
      </w:r>
    </w:p>
    <w:p w14:paraId="1A35C1AE" w14:textId="3674230C" w:rsidR="002A0348" w:rsidRPr="007F5EC6" w:rsidRDefault="00246F24" w:rsidP="002D4171">
      <w:r w:rsidRPr="007F5EC6">
        <w:t xml:space="preserve">This contributions </w:t>
      </w:r>
      <w:r w:rsidR="00CC16D1" w:rsidRPr="00CC16D1">
        <w:t>compare</w:t>
      </w:r>
      <w:r w:rsidR="00CC16D1">
        <w:t>s</w:t>
      </w:r>
      <w:r w:rsidR="00CC16D1" w:rsidRPr="00CC16D1">
        <w:t xml:space="preserve"> </w:t>
      </w:r>
      <w:r w:rsidR="000C5861">
        <w:t xml:space="preserve">DC based and MBB based mechanisms for </w:t>
      </w:r>
      <w:r w:rsidR="00CC16D1" w:rsidRPr="00CC16D1">
        <w:t xml:space="preserve">the </w:t>
      </w:r>
      <w:r w:rsidR="005E1F15">
        <w:t xml:space="preserve">interruption time </w:t>
      </w:r>
      <w:r w:rsidR="000C5861">
        <w:t xml:space="preserve">reduction </w:t>
      </w:r>
      <w:r w:rsidR="005E1F15">
        <w:t>during handover</w:t>
      </w:r>
      <w:r w:rsidR="000C5861">
        <w:t>.</w:t>
      </w:r>
    </w:p>
    <w:p w14:paraId="3C1BCC0D" w14:textId="737FF036" w:rsidR="00392B13" w:rsidRDefault="009067CA" w:rsidP="00AC00EF">
      <w:pPr>
        <w:rPr>
          <w:b/>
          <w:u w:val="single"/>
        </w:rPr>
      </w:pPr>
      <w:r>
        <w:rPr>
          <w:b/>
          <w:u w:val="single"/>
        </w:rPr>
        <w:fldChar w:fldCharType="begin"/>
      </w:r>
      <w:r>
        <w:rPr>
          <w:b/>
          <w:u w:val="single"/>
        </w:rPr>
        <w:instrText xml:space="preserve"> REF Observation1 \h </w:instrText>
      </w:r>
      <w:r>
        <w:rPr>
          <w:b/>
          <w:u w:val="single"/>
        </w:rPr>
      </w:r>
      <w:r>
        <w:rPr>
          <w:b/>
          <w:u w:val="single"/>
        </w:rPr>
        <w:fldChar w:fldCharType="separate"/>
      </w:r>
      <w:r w:rsidR="00562D24">
        <w:rPr>
          <w:b/>
          <w:sz w:val="20"/>
          <w:szCs w:val="20"/>
        </w:rPr>
        <w:fldChar w:fldCharType="begin"/>
      </w:r>
      <w:r w:rsidR="00562D24">
        <w:rPr>
          <w:b/>
          <w:u w:val="single"/>
        </w:rPr>
        <w:instrText xml:space="preserve"> REF Observation1 \h </w:instrText>
      </w:r>
      <w:r w:rsidR="00562D24">
        <w:rPr>
          <w:b/>
          <w:sz w:val="20"/>
          <w:szCs w:val="20"/>
        </w:rPr>
      </w:r>
      <w:r w:rsidR="00562D24">
        <w:rPr>
          <w:b/>
          <w:sz w:val="20"/>
          <w:szCs w:val="20"/>
        </w:rPr>
        <w:fldChar w:fldCharType="separate"/>
      </w:r>
      <w:r w:rsidR="00F125D1">
        <w:rPr>
          <w:b/>
          <w:sz w:val="20"/>
          <w:szCs w:val="20"/>
        </w:rPr>
        <w:fldChar w:fldCharType="begin"/>
      </w:r>
      <w:r w:rsidR="00F125D1">
        <w:rPr>
          <w:b/>
          <w:sz w:val="20"/>
          <w:szCs w:val="20"/>
        </w:rPr>
        <w:instrText xml:space="preserve"> REF Observation1 \h </w:instrText>
      </w:r>
      <w:r w:rsidR="00F125D1">
        <w:rPr>
          <w:b/>
          <w:sz w:val="20"/>
          <w:szCs w:val="20"/>
        </w:rPr>
      </w:r>
      <w:r w:rsidR="00F125D1">
        <w:rPr>
          <w:b/>
          <w:sz w:val="20"/>
          <w:szCs w:val="20"/>
        </w:rPr>
        <w:fldChar w:fldCharType="separate"/>
      </w:r>
      <w:r w:rsidR="00F125D1" w:rsidRPr="00520864">
        <w:rPr>
          <w:b/>
          <w:sz w:val="20"/>
          <w:szCs w:val="20"/>
        </w:rPr>
        <w:t>Observation 1:</w:t>
      </w:r>
      <w:r w:rsidR="00F125D1">
        <w:rPr>
          <w:sz w:val="20"/>
          <w:szCs w:val="20"/>
        </w:rPr>
        <w:t xml:space="preserve"> I</w:t>
      </w:r>
      <w:r w:rsidR="00F125D1" w:rsidRPr="00520864">
        <w:rPr>
          <w:sz w:val="20"/>
          <w:szCs w:val="20"/>
        </w:rPr>
        <w:t>t is false to suggest DC based approach would have more limited deployment scenarios than MBB based approaches</w:t>
      </w:r>
      <w:r w:rsidR="00F125D1">
        <w:rPr>
          <w:sz w:val="20"/>
          <w:szCs w:val="20"/>
        </w:rPr>
        <w:t>.</w:t>
      </w:r>
      <w:r w:rsidR="00F125D1">
        <w:rPr>
          <w:b/>
          <w:sz w:val="20"/>
          <w:szCs w:val="20"/>
        </w:rPr>
        <w:fldChar w:fldCharType="end"/>
      </w:r>
      <w:r w:rsidR="00562D24">
        <w:rPr>
          <w:sz w:val="20"/>
          <w:szCs w:val="20"/>
        </w:rPr>
        <w:t xml:space="preserve"> </w:t>
      </w:r>
      <w:r w:rsidR="00562D24">
        <w:rPr>
          <w:b/>
          <w:sz w:val="20"/>
          <w:szCs w:val="20"/>
        </w:rPr>
        <w:fldChar w:fldCharType="end"/>
      </w:r>
      <w:r w:rsidR="00562D24">
        <w:rPr>
          <w:sz w:val="20"/>
          <w:szCs w:val="20"/>
        </w:rPr>
        <w:t xml:space="preserve"> </w:t>
      </w:r>
      <w:r>
        <w:rPr>
          <w:b/>
          <w:u w:val="single"/>
        </w:rPr>
        <w:fldChar w:fldCharType="end"/>
      </w:r>
    </w:p>
    <w:p w14:paraId="7B024D21" w14:textId="3136F60C" w:rsidR="00562D24" w:rsidRDefault="00F125D1" w:rsidP="002324D8">
      <w:pPr>
        <w:spacing w:before="240" w:after="240"/>
        <w:rPr>
          <w:b/>
          <w:u w:val="single"/>
        </w:rPr>
      </w:pPr>
      <w:r>
        <w:rPr>
          <w:b/>
          <w:u w:val="single"/>
        </w:rPr>
        <w:fldChar w:fldCharType="begin"/>
      </w:r>
      <w:r>
        <w:rPr>
          <w:b/>
          <w:u w:val="single"/>
        </w:rPr>
        <w:instrText xml:space="preserve"> REF Observation2 \h </w:instrText>
      </w:r>
      <w:r>
        <w:rPr>
          <w:b/>
          <w:u w:val="single"/>
        </w:rPr>
      </w:r>
      <w:r>
        <w:rPr>
          <w:b/>
          <w:u w:val="single"/>
        </w:rPr>
        <w:fldChar w:fldCharType="separate"/>
      </w:r>
      <w:r>
        <w:rPr>
          <w:b/>
          <w:sz w:val="20"/>
          <w:szCs w:val="20"/>
        </w:rPr>
        <w:t>Observation 2</w:t>
      </w:r>
      <w:r w:rsidRPr="008A6009">
        <w:rPr>
          <w:b/>
          <w:sz w:val="20"/>
          <w:szCs w:val="20"/>
        </w:rPr>
        <w:t>:</w:t>
      </w:r>
      <w:r w:rsidRPr="008A6009">
        <w:rPr>
          <w:sz w:val="20"/>
          <w:szCs w:val="20"/>
        </w:rPr>
        <w:t xml:space="preserve"> DC based and MBB based approaches </w:t>
      </w:r>
      <w:r>
        <w:rPr>
          <w:sz w:val="20"/>
          <w:szCs w:val="20"/>
        </w:rPr>
        <w:t xml:space="preserve">can </w:t>
      </w:r>
      <w:r w:rsidRPr="008A6009">
        <w:rPr>
          <w:sz w:val="20"/>
          <w:szCs w:val="20"/>
        </w:rPr>
        <w:t>share the same call flow for handover procedure, and have the same amount of Uu and Xn message exchanges.</w:t>
      </w:r>
      <w:r>
        <w:rPr>
          <w:b/>
          <w:u w:val="single"/>
        </w:rPr>
        <w:fldChar w:fldCharType="end"/>
      </w:r>
    </w:p>
    <w:p w14:paraId="2489F4D7" w14:textId="5FFDB866" w:rsidR="00F125D1" w:rsidRDefault="00F125D1" w:rsidP="002324D8">
      <w:pPr>
        <w:spacing w:before="240" w:after="240"/>
        <w:rPr>
          <w:b/>
          <w:u w:val="single"/>
        </w:rPr>
      </w:pPr>
      <w:r>
        <w:rPr>
          <w:b/>
          <w:u w:val="single"/>
        </w:rPr>
        <w:fldChar w:fldCharType="begin"/>
      </w:r>
      <w:r>
        <w:rPr>
          <w:b/>
          <w:u w:val="single"/>
        </w:rPr>
        <w:instrText xml:space="preserve"> REF Observation3 \h </w:instrText>
      </w:r>
      <w:r>
        <w:rPr>
          <w:b/>
          <w:u w:val="single"/>
        </w:rPr>
      </w:r>
      <w:r>
        <w:rPr>
          <w:b/>
          <w:u w:val="single"/>
        </w:rPr>
        <w:fldChar w:fldCharType="separate"/>
      </w:r>
      <w:r w:rsidR="007E64D1" w:rsidRPr="00903FFE">
        <w:rPr>
          <w:b/>
          <w:sz w:val="20"/>
          <w:szCs w:val="20"/>
        </w:rPr>
        <w:t>Observation 3:</w:t>
      </w:r>
      <w:r w:rsidR="007E64D1">
        <w:rPr>
          <w:b/>
          <w:sz w:val="20"/>
          <w:szCs w:val="20"/>
        </w:rPr>
        <w:t xml:space="preserve"> </w:t>
      </w:r>
      <w:r w:rsidR="007E64D1">
        <w:rPr>
          <w:sz w:val="20"/>
          <w:szCs w:val="20"/>
        </w:rPr>
        <w:t xml:space="preserve">DC based mechanism for handover interruption time reduction doesn’t </w:t>
      </w:r>
      <w:r w:rsidR="007E64D1" w:rsidRPr="00033476">
        <w:rPr>
          <w:sz w:val="20"/>
          <w:szCs w:val="20"/>
        </w:rPr>
        <w:t>require UE/network to support Rel. 15 DC</w:t>
      </w:r>
      <w:r w:rsidR="007E64D1">
        <w:rPr>
          <w:sz w:val="20"/>
          <w:szCs w:val="20"/>
        </w:rPr>
        <w:t xml:space="preserve"> as a prerequisite.</w:t>
      </w:r>
      <w:r>
        <w:rPr>
          <w:b/>
          <w:u w:val="single"/>
        </w:rPr>
        <w:fldChar w:fldCharType="end"/>
      </w:r>
    </w:p>
    <w:p w14:paraId="486D865F" w14:textId="4FC965F7" w:rsidR="00F125D1" w:rsidRDefault="00F125D1" w:rsidP="002324D8">
      <w:pPr>
        <w:spacing w:before="240" w:after="240"/>
        <w:rPr>
          <w:b/>
          <w:u w:val="single"/>
        </w:rPr>
      </w:pPr>
      <w:r>
        <w:rPr>
          <w:b/>
          <w:u w:val="single"/>
        </w:rPr>
        <w:fldChar w:fldCharType="begin"/>
      </w:r>
      <w:r>
        <w:rPr>
          <w:b/>
          <w:u w:val="single"/>
        </w:rPr>
        <w:instrText xml:space="preserve"> REF Observation4 \h </w:instrText>
      </w:r>
      <w:r>
        <w:rPr>
          <w:b/>
          <w:u w:val="single"/>
        </w:rPr>
      </w:r>
      <w:r>
        <w:rPr>
          <w:b/>
          <w:u w:val="single"/>
        </w:rPr>
        <w:fldChar w:fldCharType="separate"/>
      </w:r>
      <w:r w:rsidR="00530E5F">
        <w:rPr>
          <w:b/>
          <w:sz w:val="20"/>
          <w:szCs w:val="20"/>
        </w:rPr>
        <w:t>Observation 4</w:t>
      </w:r>
      <w:r w:rsidR="00530E5F" w:rsidRPr="00375A32">
        <w:rPr>
          <w:b/>
          <w:sz w:val="20"/>
          <w:szCs w:val="20"/>
        </w:rPr>
        <w:t>:</w:t>
      </w:r>
      <w:r w:rsidR="00530E5F" w:rsidRPr="00375A32">
        <w:rPr>
          <w:sz w:val="20"/>
          <w:szCs w:val="20"/>
        </w:rPr>
        <w:t xml:space="preserve"> Rel. 15 L2 protocol structure for DC can be reused with minimal specification works for handover interruption reduction, and it can fully support functionalities for URLLC and Industrial IoT services during handover.</w:t>
      </w:r>
      <w:r>
        <w:rPr>
          <w:b/>
          <w:u w:val="single"/>
        </w:rPr>
        <w:fldChar w:fldCharType="end"/>
      </w:r>
    </w:p>
    <w:p w14:paraId="7C599BC1" w14:textId="071ACA1D" w:rsidR="00F125D1" w:rsidRDefault="00F125D1" w:rsidP="002324D8">
      <w:pPr>
        <w:spacing w:before="240" w:after="240"/>
        <w:rPr>
          <w:b/>
          <w:u w:val="single"/>
        </w:rPr>
      </w:pPr>
      <w:r>
        <w:rPr>
          <w:b/>
          <w:u w:val="single"/>
        </w:rPr>
        <w:fldChar w:fldCharType="begin"/>
      </w:r>
      <w:r>
        <w:rPr>
          <w:b/>
          <w:u w:val="single"/>
        </w:rPr>
        <w:instrText xml:space="preserve"> REF Observation5 \h </w:instrText>
      </w:r>
      <w:r>
        <w:rPr>
          <w:b/>
          <w:u w:val="single"/>
        </w:rPr>
      </w:r>
      <w:r>
        <w:rPr>
          <w:b/>
          <w:u w:val="single"/>
        </w:rPr>
        <w:fldChar w:fldCharType="separate"/>
      </w:r>
      <w:r w:rsidR="00530E5F">
        <w:rPr>
          <w:b/>
          <w:sz w:val="20"/>
          <w:szCs w:val="20"/>
        </w:rPr>
        <w:t>Observation 5</w:t>
      </w:r>
      <w:r w:rsidR="00530E5F" w:rsidRPr="00375A32">
        <w:rPr>
          <w:b/>
          <w:sz w:val="20"/>
          <w:szCs w:val="20"/>
        </w:rPr>
        <w:t>:</w:t>
      </w:r>
      <w:r w:rsidR="00530E5F" w:rsidRPr="00375A32">
        <w:rPr>
          <w:sz w:val="20"/>
          <w:szCs w:val="20"/>
        </w:rPr>
        <w:t xml:space="preserve"> MBB based approaches deviate from Rel. 15 L2 protocol structure, and requires significant amount of specification works to supports functionalities needed by URLLC and Industrial IoT services during handover.</w:t>
      </w:r>
      <w:r>
        <w:rPr>
          <w:b/>
          <w:u w:val="single"/>
        </w:rPr>
        <w:fldChar w:fldCharType="end"/>
      </w:r>
    </w:p>
    <w:p w14:paraId="60A141FE" w14:textId="470AEF7C" w:rsidR="00F125D1" w:rsidRDefault="00F125D1" w:rsidP="002324D8">
      <w:pPr>
        <w:spacing w:before="240" w:after="240"/>
        <w:rPr>
          <w:b/>
          <w:u w:val="single"/>
        </w:rPr>
      </w:pPr>
      <w:r>
        <w:rPr>
          <w:b/>
          <w:u w:val="single"/>
        </w:rPr>
        <w:fldChar w:fldCharType="begin"/>
      </w:r>
      <w:r>
        <w:rPr>
          <w:b/>
          <w:u w:val="single"/>
        </w:rPr>
        <w:instrText xml:space="preserve"> REF Observation6 \h </w:instrText>
      </w:r>
      <w:r>
        <w:rPr>
          <w:b/>
          <w:u w:val="single"/>
        </w:rPr>
      </w:r>
      <w:r>
        <w:rPr>
          <w:b/>
          <w:u w:val="single"/>
        </w:rPr>
        <w:fldChar w:fldCharType="separate"/>
      </w:r>
      <w:r w:rsidR="00530E5F" w:rsidRPr="00944CEB">
        <w:rPr>
          <w:b/>
          <w:sz w:val="20"/>
          <w:szCs w:val="20"/>
        </w:rPr>
        <w:t>O</w:t>
      </w:r>
      <w:r w:rsidR="00530E5F">
        <w:rPr>
          <w:b/>
          <w:sz w:val="20"/>
          <w:szCs w:val="20"/>
        </w:rPr>
        <w:t>bservation 6</w:t>
      </w:r>
      <w:r w:rsidR="00530E5F" w:rsidRPr="00944CEB">
        <w:rPr>
          <w:b/>
          <w:sz w:val="20"/>
          <w:szCs w:val="20"/>
        </w:rPr>
        <w:t>:</w:t>
      </w:r>
      <w:r w:rsidR="00530E5F" w:rsidRPr="00944CEB">
        <w:rPr>
          <w:sz w:val="20"/>
          <w:szCs w:val="20"/>
        </w:rPr>
        <w:t xml:space="preserve"> </w:t>
      </w:r>
      <w:r w:rsidR="00530E5F">
        <w:rPr>
          <w:sz w:val="20"/>
          <w:szCs w:val="20"/>
        </w:rPr>
        <w:t>DC based handover experiences much lower interruption time than Rel. 15 handover and MBB based handover.</w:t>
      </w:r>
      <w:r>
        <w:rPr>
          <w:b/>
          <w:u w:val="single"/>
        </w:rPr>
        <w:fldChar w:fldCharType="end"/>
      </w:r>
    </w:p>
    <w:p w14:paraId="0BD81E56" w14:textId="7C316EAF" w:rsidR="00530E5F" w:rsidRDefault="00530E5F" w:rsidP="002324D8">
      <w:pPr>
        <w:spacing w:before="240" w:after="240"/>
        <w:rPr>
          <w:b/>
          <w:u w:val="single"/>
        </w:rPr>
      </w:pPr>
      <w:r>
        <w:rPr>
          <w:b/>
          <w:u w:val="single"/>
        </w:rPr>
        <w:fldChar w:fldCharType="begin"/>
      </w:r>
      <w:r>
        <w:rPr>
          <w:b/>
          <w:u w:val="single"/>
        </w:rPr>
        <w:instrText xml:space="preserve"> REF Observation7 \h </w:instrText>
      </w:r>
      <w:r>
        <w:rPr>
          <w:b/>
          <w:u w:val="single"/>
        </w:rPr>
      </w:r>
      <w:r>
        <w:rPr>
          <w:b/>
          <w:u w:val="single"/>
        </w:rPr>
        <w:fldChar w:fldCharType="separate"/>
      </w:r>
      <w:r w:rsidR="005351E6">
        <w:rPr>
          <w:b/>
          <w:sz w:val="20"/>
          <w:szCs w:val="20"/>
        </w:rPr>
        <w:t>Observation 7</w:t>
      </w:r>
      <w:r w:rsidR="005351E6" w:rsidRPr="0050696B">
        <w:rPr>
          <w:b/>
          <w:sz w:val="20"/>
          <w:szCs w:val="20"/>
        </w:rPr>
        <w:t>:</w:t>
      </w:r>
      <w:r w:rsidR="005351E6">
        <w:rPr>
          <w:sz w:val="20"/>
          <w:szCs w:val="20"/>
        </w:rPr>
        <w:t xml:space="preserve"> If duplication is not supported, MBB based approach would perform even worse than Rel. 15 handover in terms of reliability and interruption time.</w:t>
      </w:r>
      <w:r>
        <w:rPr>
          <w:b/>
          <w:u w:val="single"/>
        </w:rPr>
        <w:fldChar w:fldCharType="end"/>
      </w:r>
    </w:p>
    <w:p w14:paraId="42B99AF7" w14:textId="77777777" w:rsidR="000A176B" w:rsidRPr="00AE1366" w:rsidRDefault="00F125D1" w:rsidP="00363F7A">
      <w:pPr>
        <w:spacing w:before="240" w:after="240"/>
        <w:rPr>
          <w:sz w:val="20"/>
          <w:szCs w:val="20"/>
        </w:rPr>
      </w:pPr>
      <w:r>
        <w:rPr>
          <w:b/>
          <w:u w:val="single"/>
        </w:rPr>
        <w:lastRenderedPageBreak/>
        <w:fldChar w:fldCharType="begin"/>
      </w:r>
      <w:r>
        <w:rPr>
          <w:lang w:eastAsia="zh-CN"/>
        </w:rPr>
        <w:instrText xml:space="preserve"> REF Proposal \h </w:instrText>
      </w:r>
      <w:r>
        <w:rPr>
          <w:b/>
          <w:u w:val="single"/>
        </w:rPr>
      </w:r>
      <w:r>
        <w:rPr>
          <w:b/>
          <w:u w:val="single"/>
        </w:rPr>
        <w:fldChar w:fldCharType="separate"/>
      </w:r>
      <w:r w:rsidR="000A176B">
        <w:rPr>
          <w:sz w:val="20"/>
          <w:szCs w:val="20"/>
        </w:rPr>
        <w:t xml:space="preserve">In summary, by having separate PDCP functionalities on both the source and target cells for a radio bearer, MBB based approaches deviate from Rel. 15 L2 protocol structure, which doesn’t address any real issue but lead to serious performance degradation and significant complexity in specification works. Furthermore, not supporting duplication as suggested by [2] deviates also from the principle of “Make Before Break”, as the transmission paths from the source cell and target cell become critical, not complementary, to each other, which leads to worse performance than Rel. 15 HO, as it is determined by the weaker link between the source and target cells. </w:t>
      </w:r>
    </w:p>
    <w:p w14:paraId="535BB603" w14:textId="1E7C9876" w:rsidR="00392B13" w:rsidRPr="007F5EC6" w:rsidRDefault="000A176B" w:rsidP="002324D8">
      <w:pPr>
        <w:spacing w:before="240" w:after="240"/>
        <w:rPr>
          <w:lang w:eastAsia="zh-CN"/>
        </w:rPr>
      </w:pPr>
      <w:r w:rsidRPr="00944CEB">
        <w:rPr>
          <w:b/>
          <w:sz w:val="20"/>
          <w:szCs w:val="20"/>
        </w:rPr>
        <w:t>Proposal:</w:t>
      </w:r>
      <w:r w:rsidRPr="00944CEB">
        <w:rPr>
          <w:sz w:val="20"/>
          <w:szCs w:val="20"/>
        </w:rPr>
        <w:t xml:space="preserve"> </w:t>
      </w:r>
      <w:r>
        <w:rPr>
          <w:sz w:val="20"/>
          <w:szCs w:val="20"/>
        </w:rPr>
        <w:t>Rel. 15 L2 protocol structure for DC should be taken as baseline for data transmission during handover for interruption time reduction</w:t>
      </w:r>
      <w:r w:rsidRPr="00944CEB">
        <w:rPr>
          <w:sz w:val="20"/>
          <w:szCs w:val="20"/>
        </w:rPr>
        <w:t>.</w:t>
      </w:r>
      <w:r w:rsidR="00F125D1">
        <w:rPr>
          <w:b/>
          <w:u w:val="single"/>
        </w:rPr>
        <w:fldChar w:fldCharType="end"/>
      </w:r>
    </w:p>
    <w:p w14:paraId="410E44E3" w14:textId="77777777" w:rsidR="001D780E" w:rsidRPr="00D74B92" w:rsidRDefault="001D780E" w:rsidP="007F5EC6">
      <w:pPr>
        <w:pStyle w:val="Heading1"/>
        <w:numPr>
          <w:ilvl w:val="0"/>
          <w:numId w:val="0"/>
        </w:numPr>
        <w:ind w:left="432" w:hanging="432"/>
      </w:pPr>
      <w:bookmarkStart w:id="14" w:name="_Ref124589665"/>
      <w:bookmarkStart w:id="15" w:name="_Ref71620620"/>
      <w:bookmarkStart w:id="16" w:name="_Ref124671424"/>
      <w:r w:rsidRPr="00D74B92">
        <w:t>References</w:t>
      </w:r>
    </w:p>
    <w:bookmarkEnd w:id="13"/>
    <w:bookmarkEnd w:id="14"/>
    <w:bookmarkEnd w:id="15"/>
    <w:bookmarkEnd w:id="16"/>
    <w:p w14:paraId="16EC957D" w14:textId="64108BDD" w:rsidR="00EF1D7F" w:rsidRDefault="00224F63" w:rsidP="00CA38F5">
      <w:pPr>
        <w:pStyle w:val="References"/>
      </w:pPr>
      <w:r>
        <w:t>R2-1909581</w:t>
      </w:r>
      <w:r w:rsidR="00CA38F5">
        <w:t xml:space="preserve">, </w:t>
      </w:r>
      <w:r w:rsidR="002E7C0D">
        <w:t>Call Flow Analysis for Handover Interruption Time Reduction, Futurewei</w:t>
      </w:r>
      <w:r w:rsidR="00CA38F5">
        <w:t>.</w:t>
      </w:r>
    </w:p>
    <w:p w14:paraId="75ABAEEC" w14:textId="1418264A" w:rsidR="00902EDC" w:rsidRDefault="00902EDC" w:rsidP="00CA38F5">
      <w:pPr>
        <w:pStyle w:val="References"/>
      </w:pPr>
      <w:r w:rsidRPr="005525DC">
        <w:t>R2-1906281</w:t>
      </w:r>
      <w:r>
        <w:t xml:space="preserve">, </w:t>
      </w:r>
      <w:r w:rsidRPr="005525DC">
        <w:t>Non DC based solution for 0ms interruption time</w:t>
      </w:r>
      <w:r>
        <w:t>,</w:t>
      </w:r>
      <w:r w:rsidRPr="005525DC">
        <w:tab/>
        <w:t>Intel Corporation,</w:t>
      </w:r>
      <w:r>
        <w:t xml:space="preserve"> et al.</w:t>
      </w:r>
    </w:p>
    <w:p w14:paraId="3E7CB435" w14:textId="7D878D00" w:rsidR="004E3F89" w:rsidRDefault="004E3F89" w:rsidP="004E3F89">
      <w:pPr>
        <w:pStyle w:val="References"/>
      </w:pPr>
      <w:r w:rsidRPr="004E3F89">
        <w:t>TS 37.340</w:t>
      </w:r>
      <w:r>
        <w:t>, “Evolved Universal Terrestrial Radio Access (E-UTRA) and NR; Multi-connectivity; Stage 2”.</w:t>
      </w:r>
    </w:p>
    <w:p w14:paraId="07865A19" w14:textId="796977FD" w:rsidR="004C3C99" w:rsidRDefault="00A51A04" w:rsidP="004C3C99">
      <w:pPr>
        <w:pStyle w:val="References"/>
      </w:pPr>
      <w:r>
        <w:t>R2-1909582</w:t>
      </w:r>
      <w:r w:rsidR="004C3C99">
        <w:t xml:space="preserve">, </w:t>
      </w:r>
      <w:r w:rsidR="004C3C99" w:rsidRPr="004C3C99">
        <w:t>Complexity Analysis of Handover Interruption Time Reduction</w:t>
      </w:r>
      <w:r>
        <w:t>, Futurewei.</w:t>
      </w:r>
    </w:p>
    <w:p w14:paraId="1AA42933" w14:textId="19A67D69" w:rsidR="00D57FEE" w:rsidRDefault="00A51A04" w:rsidP="00D57FEE">
      <w:pPr>
        <w:pStyle w:val="References"/>
      </w:pPr>
      <w:r>
        <w:t>R2-1909583</w:t>
      </w:r>
      <w:r w:rsidR="00D57FEE">
        <w:t xml:space="preserve">, </w:t>
      </w:r>
      <w:r w:rsidR="00D57FEE" w:rsidRPr="00D57FEE">
        <w:t>Performance Analysis of Handover Interruption Time Reduction</w:t>
      </w:r>
      <w:r>
        <w:t>, Futurewei.</w:t>
      </w:r>
    </w:p>
    <w:p w14:paraId="049A095E" w14:textId="178994C1" w:rsidR="00AF2C19" w:rsidRPr="007F5EC6" w:rsidRDefault="00AF2C19" w:rsidP="00AF2C19">
      <w:pPr>
        <w:pStyle w:val="References"/>
      </w:pPr>
      <w:r w:rsidRPr="00AF2C19">
        <w:t>R2-1907424, “Procedure analysis of DC-based handover”,</w:t>
      </w:r>
      <w:r w:rsidRPr="00AF2C19">
        <w:tab/>
        <w:t>Huawei, HiSilicon, Nokia, Nokia Shanghai Bell.</w:t>
      </w:r>
    </w:p>
    <w:sectPr w:rsidR="00AF2C19"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D990A" w14:textId="77777777" w:rsidR="00481694" w:rsidRDefault="00481694">
      <w:r>
        <w:separator/>
      </w:r>
    </w:p>
  </w:endnote>
  <w:endnote w:type="continuationSeparator" w:id="0">
    <w:p w14:paraId="2C077A21" w14:textId="77777777" w:rsidR="00481694" w:rsidRDefault="00481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18685" w14:textId="77777777" w:rsidR="00481694" w:rsidRDefault="00481694">
      <w:r>
        <w:separator/>
      </w:r>
    </w:p>
  </w:footnote>
  <w:footnote w:type="continuationSeparator" w:id="0">
    <w:p w14:paraId="2FF3E63E" w14:textId="77777777" w:rsidR="00481694" w:rsidRDefault="00481694">
      <w:r>
        <w:continuationSeparator/>
      </w:r>
    </w:p>
  </w:footnote>
  <w:footnote w:id="1">
    <w:p w14:paraId="08E3C5CD" w14:textId="33265A0E" w:rsidR="00D84D19" w:rsidRDefault="00D84D19">
      <w:pPr>
        <w:pStyle w:val="FootnoteText"/>
      </w:pPr>
      <w:r>
        <w:rPr>
          <w:rStyle w:val="FootnoteReference"/>
        </w:rPr>
        <w:footnoteRef/>
      </w:r>
      <w:r>
        <w:t xml:space="preserve"> “Make Before Break” is used in soft/softer handover, where messages are sent over both the source and target cells, i.e., duplication is done.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25173"/>
    <w:multiLevelType w:val="hybridMultilevel"/>
    <w:tmpl w:val="D38C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9692C"/>
    <w:multiLevelType w:val="hybridMultilevel"/>
    <w:tmpl w:val="078A8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EE44B67"/>
    <w:multiLevelType w:val="hybridMultilevel"/>
    <w:tmpl w:val="FD70484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5AA108ED"/>
    <w:multiLevelType w:val="hybridMultilevel"/>
    <w:tmpl w:val="215AC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197041D"/>
    <w:multiLevelType w:val="hybridMultilevel"/>
    <w:tmpl w:val="DBAC0BC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7"/>
  </w:num>
  <w:num w:numId="6">
    <w:abstractNumId w:val="1"/>
  </w:num>
  <w:num w:numId="7">
    <w:abstractNumId w:val="0"/>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737"/>
    <w:rsid w:val="00011F67"/>
    <w:rsid w:val="00012862"/>
    <w:rsid w:val="000128E6"/>
    <w:rsid w:val="00012F77"/>
    <w:rsid w:val="00013371"/>
    <w:rsid w:val="000151B9"/>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A13"/>
    <w:rsid w:val="00026D4B"/>
    <w:rsid w:val="00026DFC"/>
    <w:rsid w:val="000275C6"/>
    <w:rsid w:val="00027AD6"/>
    <w:rsid w:val="00027C82"/>
    <w:rsid w:val="0003024C"/>
    <w:rsid w:val="00030533"/>
    <w:rsid w:val="0003083D"/>
    <w:rsid w:val="00031ADB"/>
    <w:rsid w:val="00032056"/>
    <w:rsid w:val="000328CA"/>
    <w:rsid w:val="00032E40"/>
    <w:rsid w:val="000332D5"/>
    <w:rsid w:val="00033476"/>
    <w:rsid w:val="0003367F"/>
    <w:rsid w:val="0003376B"/>
    <w:rsid w:val="00034676"/>
    <w:rsid w:val="000346E6"/>
    <w:rsid w:val="000352B3"/>
    <w:rsid w:val="00036660"/>
    <w:rsid w:val="000371DD"/>
    <w:rsid w:val="000372BA"/>
    <w:rsid w:val="00040180"/>
    <w:rsid w:val="0004023E"/>
    <w:rsid w:val="0004024B"/>
    <w:rsid w:val="000404D2"/>
    <w:rsid w:val="000406D1"/>
    <w:rsid w:val="00041B21"/>
    <w:rsid w:val="00041C10"/>
    <w:rsid w:val="00041C57"/>
    <w:rsid w:val="00041D96"/>
    <w:rsid w:val="00042ADB"/>
    <w:rsid w:val="000434B7"/>
    <w:rsid w:val="000435E4"/>
    <w:rsid w:val="00044C0E"/>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D58"/>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779"/>
    <w:rsid w:val="00063F87"/>
    <w:rsid w:val="00065D38"/>
    <w:rsid w:val="0006694E"/>
    <w:rsid w:val="00067DD1"/>
    <w:rsid w:val="000701AB"/>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F"/>
    <w:rsid w:val="00076097"/>
    <w:rsid w:val="00076133"/>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6BA6"/>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98B"/>
    <w:rsid w:val="00097C40"/>
    <w:rsid w:val="00097C99"/>
    <w:rsid w:val="000A0B2A"/>
    <w:rsid w:val="000A0F14"/>
    <w:rsid w:val="000A1441"/>
    <w:rsid w:val="000A176B"/>
    <w:rsid w:val="000A1A06"/>
    <w:rsid w:val="000A1B60"/>
    <w:rsid w:val="000A21B4"/>
    <w:rsid w:val="000A2CC7"/>
    <w:rsid w:val="000A2ED6"/>
    <w:rsid w:val="000A41D1"/>
    <w:rsid w:val="000A4205"/>
    <w:rsid w:val="000A4226"/>
    <w:rsid w:val="000A4A19"/>
    <w:rsid w:val="000A4DEA"/>
    <w:rsid w:val="000A54B7"/>
    <w:rsid w:val="000A61B9"/>
    <w:rsid w:val="000A6351"/>
    <w:rsid w:val="000A63D6"/>
    <w:rsid w:val="000A6FF5"/>
    <w:rsid w:val="000A7B38"/>
    <w:rsid w:val="000A7F11"/>
    <w:rsid w:val="000B0343"/>
    <w:rsid w:val="000B13B8"/>
    <w:rsid w:val="000B1FE1"/>
    <w:rsid w:val="000B2985"/>
    <w:rsid w:val="000B2C88"/>
    <w:rsid w:val="000B3342"/>
    <w:rsid w:val="000B3905"/>
    <w:rsid w:val="000B3A59"/>
    <w:rsid w:val="000B3B37"/>
    <w:rsid w:val="000B4077"/>
    <w:rsid w:val="000B4459"/>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861"/>
    <w:rsid w:val="000C5ADD"/>
    <w:rsid w:val="000C5F91"/>
    <w:rsid w:val="000C6025"/>
    <w:rsid w:val="000C697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85F"/>
    <w:rsid w:val="000F2D25"/>
    <w:rsid w:val="000F2EEE"/>
    <w:rsid w:val="000F3697"/>
    <w:rsid w:val="000F407D"/>
    <w:rsid w:val="000F4614"/>
    <w:rsid w:val="000F5BC8"/>
    <w:rsid w:val="000F631C"/>
    <w:rsid w:val="000F637B"/>
    <w:rsid w:val="000F65A0"/>
    <w:rsid w:val="000F7326"/>
    <w:rsid w:val="000F7F58"/>
    <w:rsid w:val="00100128"/>
    <w:rsid w:val="0010060E"/>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2094"/>
    <w:rsid w:val="001424A0"/>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72C1"/>
    <w:rsid w:val="001577D8"/>
    <w:rsid w:val="001578F1"/>
    <w:rsid w:val="00157FC3"/>
    <w:rsid w:val="00160739"/>
    <w:rsid w:val="00161EFB"/>
    <w:rsid w:val="00161FE4"/>
    <w:rsid w:val="0016271E"/>
    <w:rsid w:val="00162D7A"/>
    <w:rsid w:val="001633C3"/>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FC1"/>
    <w:rsid w:val="00182F13"/>
    <w:rsid w:val="00183034"/>
    <w:rsid w:val="001830F7"/>
    <w:rsid w:val="0018371D"/>
    <w:rsid w:val="00183EE6"/>
    <w:rsid w:val="001844E5"/>
    <w:rsid w:val="00184E75"/>
    <w:rsid w:val="0018528A"/>
    <w:rsid w:val="0018588A"/>
    <w:rsid w:val="00186BE6"/>
    <w:rsid w:val="00187252"/>
    <w:rsid w:val="0019080E"/>
    <w:rsid w:val="00191C91"/>
    <w:rsid w:val="00192DD9"/>
    <w:rsid w:val="001931F7"/>
    <w:rsid w:val="00193878"/>
    <w:rsid w:val="00194339"/>
    <w:rsid w:val="00194848"/>
    <w:rsid w:val="00194BA9"/>
    <w:rsid w:val="00194F68"/>
    <w:rsid w:val="001958EA"/>
    <w:rsid w:val="00195E0E"/>
    <w:rsid w:val="00197FBC"/>
    <w:rsid w:val="001A01A5"/>
    <w:rsid w:val="001A0E0D"/>
    <w:rsid w:val="001A180D"/>
    <w:rsid w:val="001A1BAC"/>
    <w:rsid w:val="001A23CE"/>
    <w:rsid w:val="001A2C89"/>
    <w:rsid w:val="001A4965"/>
    <w:rsid w:val="001A57EE"/>
    <w:rsid w:val="001A5BDA"/>
    <w:rsid w:val="001A5C71"/>
    <w:rsid w:val="001A673E"/>
    <w:rsid w:val="001A7763"/>
    <w:rsid w:val="001B0525"/>
    <w:rsid w:val="001B2439"/>
    <w:rsid w:val="001B27A5"/>
    <w:rsid w:val="001B31DB"/>
    <w:rsid w:val="001B33AD"/>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BF9"/>
    <w:rsid w:val="001C50F9"/>
    <w:rsid w:val="001C5D4F"/>
    <w:rsid w:val="001C64C0"/>
    <w:rsid w:val="001C69DA"/>
    <w:rsid w:val="001C6F06"/>
    <w:rsid w:val="001C6F18"/>
    <w:rsid w:val="001C75AF"/>
    <w:rsid w:val="001C7611"/>
    <w:rsid w:val="001D2360"/>
    <w:rsid w:val="001D2372"/>
    <w:rsid w:val="001D2CE6"/>
    <w:rsid w:val="001D3109"/>
    <w:rsid w:val="001D332E"/>
    <w:rsid w:val="001D44FC"/>
    <w:rsid w:val="001D5033"/>
    <w:rsid w:val="001D5C88"/>
    <w:rsid w:val="001D6567"/>
    <w:rsid w:val="001D695C"/>
    <w:rsid w:val="001D6F88"/>
    <w:rsid w:val="001D6FD9"/>
    <w:rsid w:val="001D780E"/>
    <w:rsid w:val="001D7A29"/>
    <w:rsid w:val="001E05C3"/>
    <w:rsid w:val="001E0AB0"/>
    <w:rsid w:val="001E0AD3"/>
    <w:rsid w:val="001E273E"/>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77B"/>
    <w:rsid w:val="001F4CBD"/>
    <w:rsid w:val="001F5280"/>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59A"/>
    <w:rsid w:val="00205627"/>
    <w:rsid w:val="002056D0"/>
    <w:rsid w:val="00205A0F"/>
    <w:rsid w:val="00206CC9"/>
    <w:rsid w:val="00207118"/>
    <w:rsid w:val="00210860"/>
    <w:rsid w:val="00210B6A"/>
    <w:rsid w:val="00210C1E"/>
    <w:rsid w:val="0021120F"/>
    <w:rsid w:val="00211C40"/>
    <w:rsid w:val="00211DAC"/>
    <w:rsid w:val="00212CB6"/>
    <w:rsid w:val="00212E37"/>
    <w:rsid w:val="00213B5D"/>
    <w:rsid w:val="002140FF"/>
    <w:rsid w:val="00215E30"/>
    <w:rsid w:val="002164D8"/>
    <w:rsid w:val="00217D02"/>
    <w:rsid w:val="00220894"/>
    <w:rsid w:val="0022095C"/>
    <w:rsid w:val="0022142A"/>
    <w:rsid w:val="00221772"/>
    <w:rsid w:val="00224695"/>
    <w:rsid w:val="00224952"/>
    <w:rsid w:val="00224DD2"/>
    <w:rsid w:val="00224F63"/>
    <w:rsid w:val="00225905"/>
    <w:rsid w:val="00225A6A"/>
    <w:rsid w:val="00225AC7"/>
    <w:rsid w:val="00225ACC"/>
    <w:rsid w:val="00227BCF"/>
    <w:rsid w:val="00227DBD"/>
    <w:rsid w:val="00231C25"/>
    <w:rsid w:val="00231C6F"/>
    <w:rsid w:val="0023244C"/>
    <w:rsid w:val="002324D8"/>
    <w:rsid w:val="002329C4"/>
    <w:rsid w:val="00232A90"/>
    <w:rsid w:val="00232B3B"/>
    <w:rsid w:val="00234151"/>
    <w:rsid w:val="00234F8C"/>
    <w:rsid w:val="0023535E"/>
    <w:rsid w:val="00235542"/>
    <w:rsid w:val="00235BFA"/>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D8C"/>
    <w:rsid w:val="00251F81"/>
    <w:rsid w:val="00252BE0"/>
    <w:rsid w:val="00253588"/>
    <w:rsid w:val="00253C1D"/>
    <w:rsid w:val="002546F4"/>
    <w:rsid w:val="002551D0"/>
    <w:rsid w:val="00255374"/>
    <w:rsid w:val="00255540"/>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141"/>
    <w:rsid w:val="00281274"/>
    <w:rsid w:val="0028344F"/>
    <w:rsid w:val="00283AD1"/>
    <w:rsid w:val="002846CE"/>
    <w:rsid w:val="00284B4D"/>
    <w:rsid w:val="00284BAE"/>
    <w:rsid w:val="002859AF"/>
    <w:rsid w:val="00286AE7"/>
    <w:rsid w:val="00287243"/>
    <w:rsid w:val="00287552"/>
    <w:rsid w:val="00287852"/>
    <w:rsid w:val="00287AA5"/>
    <w:rsid w:val="00290647"/>
    <w:rsid w:val="00290910"/>
    <w:rsid w:val="00291385"/>
    <w:rsid w:val="00291422"/>
    <w:rsid w:val="0029237F"/>
    <w:rsid w:val="00292715"/>
    <w:rsid w:val="00292D94"/>
    <w:rsid w:val="002934D4"/>
    <w:rsid w:val="00293E57"/>
    <w:rsid w:val="00293E93"/>
    <w:rsid w:val="002947D1"/>
    <w:rsid w:val="002948DF"/>
    <w:rsid w:val="00294D90"/>
    <w:rsid w:val="0029546B"/>
    <w:rsid w:val="0029628D"/>
    <w:rsid w:val="0029783E"/>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3E6F"/>
    <w:rsid w:val="002B48E1"/>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101"/>
    <w:rsid w:val="002E4362"/>
    <w:rsid w:val="002E5301"/>
    <w:rsid w:val="002E5B07"/>
    <w:rsid w:val="002E63D9"/>
    <w:rsid w:val="002E640E"/>
    <w:rsid w:val="002E739D"/>
    <w:rsid w:val="002E7C0D"/>
    <w:rsid w:val="002F0C28"/>
    <w:rsid w:val="002F0E2A"/>
    <w:rsid w:val="002F19D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6FD6"/>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5A17"/>
    <w:rsid w:val="00326957"/>
    <w:rsid w:val="00326AE2"/>
    <w:rsid w:val="00326DE8"/>
    <w:rsid w:val="00326E13"/>
    <w:rsid w:val="00327792"/>
    <w:rsid w:val="00327825"/>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3F7A"/>
    <w:rsid w:val="003647BA"/>
    <w:rsid w:val="0036487C"/>
    <w:rsid w:val="00365411"/>
    <w:rsid w:val="003655E9"/>
    <w:rsid w:val="00365FA2"/>
    <w:rsid w:val="003664B0"/>
    <w:rsid w:val="00366C69"/>
    <w:rsid w:val="00367441"/>
    <w:rsid w:val="00367B1D"/>
    <w:rsid w:val="0037001C"/>
    <w:rsid w:val="003707F6"/>
    <w:rsid w:val="00370E4F"/>
    <w:rsid w:val="00371215"/>
    <w:rsid w:val="00371CB1"/>
    <w:rsid w:val="00372630"/>
    <w:rsid w:val="00372CA6"/>
    <w:rsid w:val="00372F0D"/>
    <w:rsid w:val="00374059"/>
    <w:rsid w:val="003748F7"/>
    <w:rsid w:val="0037535B"/>
    <w:rsid w:val="00375394"/>
    <w:rsid w:val="0037552D"/>
    <w:rsid w:val="003756DB"/>
    <w:rsid w:val="00375A32"/>
    <w:rsid w:val="00376991"/>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72F"/>
    <w:rsid w:val="00390EC7"/>
    <w:rsid w:val="003919F6"/>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C3F"/>
    <w:rsid w:val="003A597E"/>
    <w:rsid w:val="003A5A88"/>
    <w:rsid w:val="003A5BAD"/>
    <w:rsid w:val="003A7702"/>
    <w:rsid w:val="003A7834"/>
    <w:rsid w:val="003A7CE7"/>
    <w:rsid w:val="003B0B5B"/>
    <w:rsid w:val="003B0CE2"/>
    <w:rsid w:val="003B0E79"/>
    <w:rsid w:val="003B17E5"/>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2F4B"/>
    <w:rsid w:val="003C4503"/>
    <w:rsid w:val="003C5251"/>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1E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12E2"/>
    <w:rsid w:val="004020D4"/>
    <w:rsid w:val="004021B6"/>
    <w:rsid w:val="0040274F"/>
    <w:rsid w:val="004039EC"/>
    <w:rsid w:val="00403F9A"/>
    <w:rsid w:val="004047C4"/>
    <w:rsid w:val="0040523D"/>
    <w:rsid w:val="0040570B"/>
    <w:rsid w:val="00405EDB"/>
    <w:rsid w:val="00405FB1"/>
    <w:rsid w:val="00406460"/>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1D6"/>
    <w:rsid w:val="00415D76"/>
    <w:rsid w:val="00416665"/>
    <w:rsid w:val="00416A67"/>
    <w:rsid w:val="00416ACB"/>
    <w:rsid w:val="00417F6C"/>
    <w:rsid w:val="00421DCF"/>
    <w:rsid w:val="00421F52"/>
    <w:rsid w:val="00422341"/>
    <w:rsid w:val="004226CC"/>
    <w:rsid w:val="00423641"/>
    <w:rsid w:val="004237F1"/>
    <w:rsid w:val="00423DA5"/>
    <w:rsid w:val="00426266"/>
    <w:rsid w:val="0043088C"/>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13EC"/>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250A"/>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94"/>
    <w:rsid w:val="004816BE"/>
    <w:rsid w:val="0048275B"/>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8E"/>
    <w:rsid w:val="00494242"/>
    <w:rsid w:val="00494E8E"/>
    <w:rsid w:val="00494F26"/>
    <w:rsid w:val="004955BC"/>
    <w:rsid w:val="00495676"/>
    <w:rsid w:val="00495D63"/>
    <w:rsid w:val="0049629E"/>
    <w:rsid w:val="0049648F"/>
    <w:rsid w:val="00496606"/>
    <w:rsid w:val="00496D66"/>
    <w:rsid w:val="00496F05"/>
    <w:rsid w:val="00497370"/>
    <w:rsid w:val="00497959"/>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3C99"/>
    <w:rsid w:val="004C5319"/>
    <w:rsid w:val="004C5395"/>
    <w:rsid w:val="004C621F"/>
    <w:rsid w:val="004C6C17"/>
    <w:rsid w:val="004C73E6"/>
    <w:rsid w:val="004C75B5"/>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971"/>
    <w:rsid w:val="004E298C"/>
    <w:rsid w:val="004E2DE0"/>
    <w:rsid w:val="004E3F89"/>
    <w:rsid w:val="004E4060"/>
    <w:rsid w:val="004E409A"/>
    <w:rsid w:val="004E4456"/>
    <w:rsid w:val="004E4A42"/>
    <w:rsid w:val="004E6192"/>
    <w:rsid w:val="004E7A42"/>
    <w:rsid w:val="004E7C7A"/>
    <w:rsid w:val="004E7F04"/>
    <w:rsid w:val="004F0E25"/>
    <w:rsid w:val="004F0FB9"/>
    <w:rsid w:val="004F1C3B"/>
    <w:rsid w:val="004F1C8E"/>
    <w:rsid w:val="004F2910"/>
    <w:rsid w:val="004F2F7E"/>
    <w:rsid w:val="004F32B5"/>
    <w:rsid w:val="004F407E"/>
    <w:rsid w:val="004F41E5"/>
    <w:rsid w:val="004F434F"/>
    <w:rsid w:val="004F437D"/>
    <w:rsid w:val="004F517A"/>
    <w:rsid w:val="004F5479"/>
    <w:rsid w:val="004F6C73"/>
    <w:rsid w:val="004F7528"/>
    <w:rsid w:val="004F7BCA"/>
    <w:rsid w:val="004F7CB2"/>
    <w:rsid w:val="004F7D89"/>
    <w:rsid w:val="00501981"/>
    <w:rsid w:val="00501A85"/>
    <w:rsid w:val="00501BB3"/>
    <w:rsid w:val="005021DD"/>
    <w:rsid w:val="005026CA"/>
    <w:rsid w:val="00502B72"/>
    <w:rsid w:val="00502D84"/>
    <w:rsid w:val="00502FB1"/>
    <w:rsid w:val="0050376D"/>
    <w:rsid w:val="00504009"/>
    <w:rsid w:val="00504BC1"/>
    <w:rsid w:val="00505134"/>
    <w:rsid w:val="0050570C"/>
    <w:rsid w:val="00505C04"/>
    <w:rsid w:val="00506853"/>
    <w:rsid w:val="005068C2"/>
    <w:rsid w:val="0050696B"/>
    <w:rsid w:val="00506F1B"/>
    <w:rsid w:val="005076EC"/>
    <w:rsid w:val="00511168"/>
    <w:rsid w:val="005118E5"/>
    <w:rsid w:val="00511F15"/>
    <w:rsid w:val="00512881"/>
    <w:rsid w:val="0051318C"/>
    <w:rsid w:val="005137AC"/>
    <w:rsid w:val="005142CD"/>
    <w:rsid w:val="005143C9"/>
    <w:rsid w:val="005157A9"/>
    <w:rsid w:val="0051685C"/>
    <w:rsid w:val="00516951"/>
    <w:rsid w:val="005173A7"/>
    <w:rsid w:val="005176D7"/>
    <w:rsid w:val="00517742"/>
    <w:rsid w:val="005177E1"/>
    <w:rsid w:val="00520864"/>
    <w:rsid w:val="00520C0A"/>
    <w:rsid w:val="00520DFB"/>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E5F"/>
    <w:rsid w:val="00530FEB"/>
    <w:rsid w:val="00531491"/>
    <w:rsid w:val="00531EBE"/>
    <w:rsid w:val="0053217E"/>
    <w:rsid w:val="00532EE5"/>
    <w:rsid w:val="00532F8B"/>
    <w:rsid w:val="00533737"/>
    <w:rsid w:val="00533D90"/>
    <w:rsid w:val="00535079"/>
    <w:rsid w:val="005351E6"/>
    <w:rsid w:val="00535B79"/>
    <w:rsid w:val="00535D7C"/>
    <w:rsid w:val="00536354"/>
    <w:rsid w:val="00536579"/>
    <w:rsid w:val="00536C1E"/>
    <w:rsid w:val="00536DCF"/>
    <w:rsid w:val="005370EF"/>
    <w:rsid w:val="005373F0"/>
    <w:rsid w:val="0054046C"/>
    <w:rsid w:val="005411F6"/>
    <w:rsid w:val="00541B25"/>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5DC"/>
    <w:rsid w:val="00552768"/>
    <w:rsid w:val="00552935"/>
    <w:rsid w:val="00552A30"/>
    <w:rsid w:val="00553127"/>
    <w:rsid w:val="00553704"/>
    <w:rsid w:val="005537D5"/>
    <w:rsid w:val="00554973"/>
    <w:rsid w:val="00554BE7"/>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2D24"/>
    <w:rsid w:val="0056342D"/>
    <w:rsid w:val="005638D4"/>
    <w:rsid w:val="005643CA"/>
    <w:rsid w:val="005656ED"/>
    <w:rsid w:val="00565C9E"/>
    <w:rsid w:val="00565EC3"/>
    <w:rsid w:val="00566544"/>
    <w:rsid w:val="005665E8"/>
    <w:rsid w:val="00566608"/>
    <w:rsid w:val="00566C83"/>
    <w:rsid w:val="0056705C"/>
    <w:rsid w:val="005700FE"/>
    <w:rsid w:val="0057032B"/>
    <w:rsid w:val="00570E24"/>
    <w:rsid w:val="00570FF8"/>
    <w:rsid w:val="00572760"/>
    <w:rsid w:val="005727E6"/>
    <w:rsid w:val="0057320B"/>
    <w:rsid w:val="005743DE"/>
    <w:rsid w:val="00574D71"/>
    <w:rsid w:val="00574F3F"/>
    <w:rsid w:val="0057562C"/>
    <w:rsid w:val="005759F6"/>
    <w:rsid w:val="00575E3E"/>
    <w:rsid w:val="00575FE7"/>
    <w:rsid w:val="005763B2"/>
    <w:rsid w:val="005765F5"/>
    <w:rsid w:val="00576CAB"/>
    <w:rsid w:val="00576D6C"/>
    <w:rsid w:val="00576DBD"/>
    <w:rsid w:val="0057790E"/>
    <w:rsid w:val="00577A2E"/>
    <w:rsid w:val="00580E48"/>
    <w:rsid w:val="00580F0A"/>
    <w:rsid w:val="00581246"/>
    <w:rsid w:val="00582C3A"/>
    <w:rsid w:val="00582E1A"/>
    <w:rsid w:val="00583147"/>
    <w:rsid w:val="00584416"/>
    <w:rsid w:val="00584874"/>
    <w:rsid w:val="00584ADC"/>
    <w:rsid w:val="00584B39"/>
    <w:rsid w:val="00585028"/>
    <w:rsid w:val="00585253"/>
    <w:rsid w:val="005854D1"/>
    <w:rsid w:val="005856A2"/>
    <w:rsid w:val="0058590B"/>
    <w:rsid w:val="00585F5B"/>
    <w:rsid w:val="0058620A"/>
    <w:rsid w:val="0058671A"/>
    <w:rsid w:val="005868C8"/>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978EB"/>
    <w:rsid w:val="005A04BA"/>
    <w:rsid w:val="005A054D"/>
    <w:rsid w:val="005A0844"/>
    <w:rsid w:val="005A0A46"/>
    <w:rsid w:val="005A10B9"/>
    <w:rsid w:val="005A11EA"/>
    <w:rsid w:val="005A1BF0"/>
    <w:rsid w:val="005A269F"/>
    <w:rsid w:val="005A305E"/>
    <w:rsid w:val="005A30BB"/>
    <w:rsid w:val="005A3887"/>
    <w:rsid w:val="005A57EA"/>
    <w:rsid w:val="005A5E23"/>
    <w:rsid w:val="005A7DDD"/>
    <w:rsid w:val="005B0542"/>
    <w:rsid w:val="005B1C65"/>
    <w:rsid w:val="005B1FD1"/>
    <w:rsid w:val="005B2225"/>
    <w:rsid w:val="005B2799"/>
    <w:rsid w:val="005B2B77"/>
    <w:rsid w:val="005B30E1"/>
    <w:rsid w:val="005B3330"/>
    <w:rsid w:val="005B3D4A"/>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E4A"/>
    <w:rsid w:val="005C712D"/>
    <w:rsid w:val="005C7C75"/>
    <w:rsid w:val="005D0784"/>
    <w:rsid w:val="005D09FA"/>
    <w:rsid w:val="005D0CE6"/>
    <w:rsid w:val="005D0E4F"/>
    <w:rsid w:val="005D1E32"/>
    <w:rsid w:val="005D1E47"/>
    <w:rsid w:val="005D206B"/>
    <w:rsid w:val="005D22B7"/>
    <w:rsid w:val="005D2BDE"/>
    <w:rsid w:val="005D3D76"/>
    <w:rsid w:val="005D3FC4"/>
    <w:rsid w:val="005D4578"/>
    <w:rsid w:val="005D4EFA"/>
    <w:rsid w:val="005D4F01"/>
    <w:rsid w:val="005D5455"/>
    <w:rsid w:val="005D55BA"/>
    <w:rsid w:val="005D5ADB"/>
    <w:rsid w:val="005D648A"/>
    <w:rsid w:val="005D7E0D"/>
    <w:rsid w:val="005E0B3F"/>
    <w:rsid w:val="005E1F15"/>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583E"/>
    <w:rsid w:val="00606115"/>
    <w:rsid w:val="006068A8"/>
    <w:rsid w:val="00606970"/>
    <w:rsid w:val="00606A20"/>
    <w:rsid w:val="006072C6"/>
    <w:rsid w:val="00607A2E"/>
    <w:rsid w:val="00607D8D"/>
    <w:rsid w:val="0061184B"/>
    <w:rsid w:val="006130F7"/>
    <w:rsid w:val="00613AF8"/>
    <w:rsid w:val="00613D8E"/>
    <w:rsid w:val="006142E0"/>
    <w:rsid w:val="0061444B"/>
    <w:rsid w:val="00616112"/>
    <w:rsid w:val="006173CF"/>
    <w:rsid w:val="006175A0"/>
    <w:rsid w:val="00620035"/>
    <w:rsid w:val="006205CA"/>
    <w:rsid w:val="006205F6"/>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2F5"/>
    <w:rsid w:val="00632303"/>
    <w:rsid w:val="00634ACF"/>
    <w:rsid w:val="00635035"/>
    <w:rsid w:val="0063580D"/>
    <w:rsid w:val="00635CAE"/>
    <w:rsid w:val="00637240"/>
    <w:rsid w:val="00642D4C"/>
    <w:rsid w:val="00643607"/>
    <w:rsid w:val="00643660"/>
    <w:rsid w:val="006447DC"/>
    <w:rsid w:val="00644C95"/>
    <w:rsid w:val="00644F1F"/>
    <w:rsid w:val="00645361"/>
    <w:rsid w:val="00645817"/>
    <w:rsid w:val="006463B5"/>
    <w:rsid w:val="00646711"/>
    <w:rsid w:val="006475AB"/>
    <w:rsid w:val="00647CBC"/>
    <w:rsid w:val="00650139"/>
    <w:rsid w:val="006504F1"/>
    <w:rsid w:val="006506D5"/>
    <w:rsid w:val="00651704"/>
    <w:rsid w:val="0065185B"/>
    <w:rsid w:val="00652756"/>
    <w:rsid w:val="00652AD8"/>
    <w:rsid w:val="00652B79"/>
    <w:rsid w:val="006533C3"/>
    <w:rsid w:val="00654068"/>
    <w:rsid w:val="0065479C"/>
    <w:rsid w:val="00654B38"/>
    <w:rsid w:val="00654B83"/>
    <w:rsid w:val="00654C0F"/>
    <w:rsid w:val="00655061"/>
    <w:rsid w:val="0065510C"/>
    <w:rsid w:val="0065565F"/>
    <w:rsid w:val="0065589D"/>
    <w:rsid w:val="00655B63"/>
    <w:rsid w:val="00656B24"/>
    <w:rsid w:val="006571F6"/>
    <w:rsid w:val="006613F4"/>
    <w:rsid w:val="006618CC"/>
    <w:rsid w:val="00661ACB"/>
    <w:rsid w:val="00661E09"/>
    <w:rsid w:val="00661F43"/>
    <w:rsid w:val="00662111"/>
    <w:rsid w:val="00662118"/>
    <w:rsid w:val="00662287"/>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6E3"/>
    <w:rsid w:val="00683B5F"/>
    <w:rsid w:val="006840C6"/>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7466"/>
    <w:rsid w:val="006B7A69"/>
    <w:rsid w:val="006B7D22"/>
    <w:rsid w:val="006B7D2C"/>
    <w:rsid w:val="006C1019"/>
    <w:rsid w:val="006C1640"/>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530"/>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BD4"/>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697"/>
    <w:rsid w:val="00751B83"/>
    <w:rsid w:val="0075268B"/>
    <w:rsid w:val="00753191"/>
    <w:rsid w:val="00754359"/>
    <w:rsid w:val="00754411"/>
    <w:rsid w:val="00754BD9"/>
    <w:rsid w:val="00754E7A"/>
    <w:rsid w:val="0075540C"/>
    <w:rsid w:val="00755DB1"/>
    <w:rsid w:val="007574FC"/>
    <w:rsid w:val="007603F1"/>
    <w:rsid w:val="00760975"/>
    <w:rsid w:val="00761A5B"/>
    <w:rsid w:val="00761B1C"/>
    <w:rsid w:val="00761FDA"/>
    <w:rsid w:val="007621FF"/>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FD6"/>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09B5"/>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82"/>
    <w:rsid w:val="007E4C88"/>
    <w:rsid w:val="007E52BF"/>
    <w:rsid w:val="007E585E"/>
    <w:rsid w:val="007E5FD9"/>
    <w:rsid w:val="007E635F"/>
    <w:rsid w:val="007E64D1"/>
    <w:rsid w:val="007E6E00"/>
    <w:rsid w:val="007E7B35"/>
    <w:rsid w:val="007E7DDF"/>
    <w:rsid w:val="007F06CA"/>
    <w:rsid w:val="007F070A"/>
    <w:rsid w:val="007F11C8"/>
    <w:rsid w:val="007F1205"/>
    <w:rsid w:val="007F1CFB"/>
    <w:rsid w:val="007F1F1C"/>
    <w:rsid w:val="007F220B"/>
    <w:rsid w:val="007F22F5"/>
    <w:rsid w:val="007F25C6"/>
    <w:rsid w:val="007F27DD"/>
    <w:rsid w:val="007F28C6"/>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3420"/>
    <w:rsid w:val="00804B92"/>
    <w:rsid w:val="00804DA1"/>
    <w:rsid w:val="00804E21"/>
    <w:rsid w:val="00805092"/>
    <w:rsid w:val="00806AAF"/>
    <w:rsid w:val="008070AC"/>
    <w:rsid w:val="008074A5"/>
    <w:rsid w:val="008074C6"/>
    <w:rsid w:val="008075B9"/>
    <w:rsid w:val="008101FD"/>
    <w:rsid w:val="00810D8D"/>
    <w:rsid w:val="00811835"/>
    <w:rsid w:val="008128B1"/>
    <w:rsid w:val="00813FD5"/>
    <w:rsid w:val="00814E3E"/>
    <w:rsid w:val="00814F60"/>
    <w:rsid w:val="0081502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365"/>
    <w:rsid w:val="008376F6"/>
    <w:rsid w:val="00837D5B"/>
    <w:rsid w:val="00840607"/>
    <w:rsid w:val="00840739"/>
    <w:rsid w:val="00840A16"/>
    <w:rsid w:val="00841CD2"/>
    <w:rsid w:val="00842899"/>
    <w:rsid w:val="00842B51"/>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1260"/>
    <w:rsid w:val="008524D2"/>
    <w:rsid w:val="00852E19"/>
    <w:rsid w:val="008551A3"/>
    <w:rsid w:val="00856441"/>
    <w:rsid w:val="00856833"/>
    <w:rsid w:val="00856840"/>
    <w:rsid w:val="0086087C"/>
    <w:rsid w:val="0086099F"/>
    <w:rsid w:val="00860D8E"/>
    <w:rsid w:val="00861562"/>
    <w:rsid w:val="00861D51"/>
    <w:rsid w:val="0086275E"/>
    <w:rsid w:val="008642EF"/>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2DAA"/>
    <w:rsid w:val="008833E8"/>
    <w:rsid w:val="008840EA"/>
    <w:rsid w:val="00886333"/>
    <w:rsid w:val="008865C8"/>
    <w:rsid w:val="00887B48"/>
    <w:rsid w:val="00890EC6"/>
    <w:rsid w:val="0089111A"/>
    <w:rsid w:val="0089176E"/>
    <w:rsid w:val="008917E0"/>
    <w:rsid w:val="008918B6"/>
    <w:rsid w:val="00892365"/>
    <w:rsid w:val="00892BE5"/>
    <w:rsid w:val="0089387C"/>
    <w:rsid w:val="0089444E"/>
    <w:rsid w:val="00894687"/>
    <w:rsid w:val="008949DF"/>
    <w:rsid w:val="008951DB"/>
    <w:rsid w:val="0089691B"/>
    <w:rsid w:val="00896C81"/>
    <w:rsid w:val="00896D83"/>
    <w:rsid w:val="008A0167"/>
    <w:rsid w:val="008A03D1"/>
    <w:rsid w:val="008A0618"/>
    <w:rsid w:val="008A0831"/>
    <w:rsid w:val="008A0AB2"/>
    <w:rsid w:val="008A0CFC"/>
    <w:rsid w:val="008A12FE"/>
    <w:rsid w:val="008A2282"/>
    <w:rsid w:val="008A263C"/>
    <w:rsid w:val="008A28B6"/>
    <w:rsid w:val="008A2BB1"/>
    <w:rsid w:val="008A3466"/>
    <w:rsid w:val="008A389F"/>
    <w:rsid w:val="008A3D02"/>
    <w:rsid w:val="008A4FEB"/>
    <w:rsid w:val="008A5940"/>
    <w:rsid w:val="008A6009"/>
    <w:rsid w:val="008A732B"/>
    <w:rsid w:val="008A73B2"/>
    <w:rsid w:val="008A7425"/>
    <w:rsid w:val="008B043F"/>
    <w:rsid w:val="008B0808"/>
    <w:rsid w:val="008B0AEC"/>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2D7B"/>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E71D6"/>
    <w:rsid w:val="008F0A38"/>
    <w:rsid w:val="008F0F84"/>
    <w:rsid w:val="008F1014"/>
    <w:rsid w:val="008F11C9"/>
    <w:rsid w:val="008F14BD"/>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0FB3"/>
    <w:rsid w:val="00902EDC"/>
    <w:rsid w:val="00903802"/>
    <w:rsid w:val="00903FFE"/>
    <w:rsid w:val="00904640"/>
    <w:rsid w:val="00904748"/>
    <w:rsid w:val="00905E02"/>
    <w:rsid w:val="00905F2A"/>
    <w:rsid w:val="009067C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A39"/>
    <w:rsid w:val="009122A6"/>
    <w:rsid w:val="0091291A"/>
    <w:rsid w:val="009133A6"/>
    <w:rsid w:val="00913612"/>
    <w:rsid w:val="0091366A"/>
    <w:rsid w:val="00913824"/>
    <w:rsid w:val="00915757"/>
    <w:rsid w:val="009159B3"/>
    <w:rsid w:val="00915FC5"/>
    <w:rsid w:val="0091607D"/>
    <w:rsid w:val="00916181"/>
    <w:rsid w:val="00917D77"/>
    <w:rsid w:val="009204C5"/>
    <w:rsid w:val="0092180D"/>
    <w:rsid w:val="009218BD"/>
    <w:rsid w:val="00922F17"/>
    <w:rsid w:val="009232C9"/>
    <w:rsid w:val="00923608"/>
    <w:rsid w:val="009238E5"/>
    <w:rsid w:val="00923F12"/>
    <w:rsid w:val="00924489"/>
    <w:rsid w:val="00924FF8"/>
    <w:rsid w:val="0092583E"/>
    <w:rsid w:val="009258AE"/>
    <w:rsid w:val="00925BA8"/>
    <w:rsid w:val="00926DA7"/>
    <w:rsid w:val="00927F41"/>
    <w:rsid w:val="00927F8B"/>
    <w:rsid w:val="0093094D"/>
    <w:rsid w:val="009312BE"/>
    <w:rsid w:val="009323B2"/>
    <w:rsid w:val="009328C7"/>
    <w:rsid w:val="00933216"/>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CEB"/>
    <w:rsid w:val="00945180"/>
    <w:rsid w:val="0094590C"/>
    <w:rsid w:val="00946355"/>
    <w:rsid w:val="009468B7"/>
    <w:rsid w:val="0094724E"/>
    <w:rsid w:val="00947973"/>
    <w:rsid w:val="00947BE6"/>
    <w:rsid w:val="00947CD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1BC2"/>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04D"/>
    <w:rsid w:val="009951F9"/>
    <w:rsid w:val="009955F0"/>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916"/>
    <w:rsid w:val="009A6A6B"/>
    <w:rsid w:val="009A798F"/>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5F0"/>
    <w:rsid w:val="009C4BC2"/>
    <w:rsid w:val="009C4D22"/>
    <w:rsid w:val="009C5144"/>
    <w:rsid w:val="009C6A4A"/>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2E9"/>
    <w:rsid w:val="00A108EE"/>
    <w:rsid w:val="00A10BB8"/>
    <w:rsid w:val="00A118AC"/>
    <w:rsid w:val="00A11C08"/>
    <w:rsid w:val="00A11F8C"/>
    <w:rsid w:val="00A1200D"/>
    <w:rsid w:val="00A12E7C"/>
    <w:rsid w:val="00A13415"/>
    <w:rsid w:val="00A137E4"/>
    <w:rsid w:val="00A13DDD"/>
    <w:rsid w:val="00A14008"/>
    <w:rsid w:val="00A145A4"/>
    <w:rsid w:val="00A14813"/>
    <w:rsid w:val="00A150B2"/>
    <w:rsid w:val="00A1566A"/>
    <w:rsid w:val="00A15DDF"/>
    <w:rsid w:val="00A165BF"/>
    <w:rsid w:val="00A16E83"/>
    <w:rsid w:val="00A172E8"/>
    <w:rsid w:val="00A179FF"/>
    <w:rsid w:val="00A20D15"/>
    <w:rsid w:val="00A213FC"/>
    <w:rsid w:val="00A21A36"/>
    <w:rsid w:val="00A21DF7"/>
    <w:rsid w:val="00A22401"/>
    <w:rsid w:val="00A2275C"/>
    <w:rsid w:val="00A22A44"/>
    <w:rsid w:val="00A23C0B"/>
    <w:rsid w:val="00A25294"/>
    <w:rsid w:val="00A254EE"/>
    <w:rsid w:val="00A25BE7"/>
    <w:rsid w:val="00A26475"/>
    <w:rsid w:val="00A26B9B"/>
    <w:rsid w:val="00A27008"/>
    <w:rsid w:val="00A273DB"/>
    <w:rsid w:val="00A2787E"/>
    <w:rsid w:val="00A27CDF"/>
    <w:rsid w:val="00A3042A"/>
    <w:rsid w:val="00A309C6"/>
    <w:rsid w:val="00A30D13"/>
    <w:rsid w:val="00A3146E"/>
    <w:rsid w:val="00A314F9"/>
    <w:rsid w:val="00A319D0"/>
    <w:rsid w:val="00A32316"/>
    <w:rsid w:val="00A33172"/>
    <w:rsid w:val="00A33546"/>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39F"/>
    <w:rsid w:val="00A4787E"/>
    <w:rsid w:val="00A501C9"/>
    <w:rsid w:val="00A50506"/>
    <w:rsid w:val="00A50F0F"/>
    <w:rsid w:val="00A51A0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19E"/>
    <w:rsid w:val="00A62322"/>
    <w:rsid w:val="00A630A2"/>
    <w:rsid w:val="00A632B8"/>
    <w:rsid w:val="00A63A25"/>
    <w:rsid w:val="00A63BF3"/>
    <w:rsid w:val="00A64618"/>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1CB"/>
    <w:rsid w:val="00A75399"/>
    <w:rsid w:val="00A75CC1"/>
    <w:rsid w:val="00A75E88"/>
    <w:rsid w:val="00A7611B"/>
    <w:rsid w:val="00A804CD"/>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3BA2"/>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68B"/>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9AE"/>
    <w:rsid w:val="00AB725F"/>
    <w:rsid w:val="00AC00EF"/>
    <w:rsid w:val="00AC0705"/>
    <w:rsid w:val="00AC109B"/>
    <w:rsid w:val="00AC10B6"/>
    <w:rsid w:val="00AC209E"/>
    <w:rsid w:val="00AC3E6C"/>
    <w:rsid w:val="00AC4E94"/>
    <w:rsid w:val="00AC5636"/>
    <w:rsid w:val="00AC5ABA"/>
    <w:rsid w:val="00AC67A8"/>
    <w:rsid w:val="00AC7421"/>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36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4C7"/>
    <w:rsid w:val="00AF25D5"/>
    <w:rsid w:val="00AF2C19"/>
    <w:rsid w:val="00AF3DBB"/>
    <w:rsid w:val="00AF4B8D"/>
    <w:rsid w:val="00AF5021"/>
    <w:rsid w:val="00AF5194"/>
    <w:rsid w:val="00AF53EF"/>
    <w:rsid w:val="00AF6B3E"/>
    <w:rsid w:val="00AF73C3"/>
    <w:rsid w:val="00AF795C"/>
    <w:rsid w:val="00B00752"/>
    <w:rsid w:val="00B0193D"/>
    <w:rsid w:val="00B02676"/>
    <w:rsid w:val="00B026C1"/>
    <w:rsid w:val="00B02B9C"/>
    <w:rsid w:val="00B02C89"/>
    <w:rsid w:val="00B02D41"/>
    <w:rsid w:val="00B0353B"/>
    <w:rsid w:val="00B040B2"/>
    <w:rsid w:val="00B04184"/>
    <w:rsid w:val="00B04D88"/>
    <w:rsid w:val="00B054D1"/>
    <w:rsid w:val="00B06F57"/>
    <w:rsid w:val="00B07150"/>
    <w:rsid w:val="00B10558"/>
    <w:rsid w:val="00B12EF9"/>
    <w:rsid w:val="00B1418A"/>
    <w:rsid w:val="00B143EF"/>
    <w:rsid w:val="00B14680"/>
    <w:rsid w:val="00B14951"/>
    <w:rsid w:val="00B149F1"/>
    <w:rsid w:val="00B151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A0B"/>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1A2E"/>
    <w:rsid w:val="00B42285"/>
    <w:rsid w:val="00B4229B"/>
    <w:rsid w:val="00B4274B"/>
    <w:rsid w:val="00B435B1"/>
    <w:rsid w:val="00B4367F"/>
    <w:rsid w:val="00B438BA"/>
    <w:rsid w:val="00B44493"/>
    <w:rsid w:val="00B4469B"/>
    <w:rsid w:val="00B44F99"/>
    <w:rsid w:val="00B45679"/>
    <w:rsid w:val="00B45876"/>
    <w:rsid w:val="00B46082"/>
    <w:rsid w:val="00B46846"/>
    <w:rsid w:val="00B46976"/>
    <w:rsid w:val="00B4732E"/>
    <w:rsid w:val="00B4767F"/>
    <w:rsid w:val="00B47A15"/>
    <w:rsid w:val="00B505C1"/>
    <w:rsid w:val="00B51130"/>
    <w:rsid w:val="00B5115A"/>
    <w:rsid w:val="00B51542"/>
    <w:rsid w:val="00B51D1D"/>
    <w:rsid w:val="00B5310E"/>
    <w:rsid w:val="00B5321B"/>
    <w:rsid w:val="00B540AF"/>
    <w:rsid w:val="00B54ACC"/>
    <w:rsid w:val="00B54B63"/>
    <w:rsid w:val="00B54DCB"/>
    <w:rsid w:val="00B5518F"/>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2F4"/>
    <w:rsid w:val="00BA55E2"/>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FF"/>
    <w:rsid w:val="00BC28A5"/>
    <w:rsid w:val="00BC2B00"/>
    <w:rsid w:val="00BC307F"/>
    <w:rsid w:val="00BC3159"/>
    <w:rsid w:val="00BC3257"/>
    <w:rsid w:val="00BC39DB"/>
    <w:rsid w:val="00BC3A32"/>
    <w:rsid w:val="00BC3B07"/>
    <w:rsid w:val="00BC4343"/>
    <w:rsid w:val="00BC46EF"/>
    <w:rsid w:val="00BC4A0D"/>
    <w:rsid w:val="00BC6BC1"/>
    <w:rsid w:val="00BC6FD6"/>
    <w:rsid w:val="00BC706F"/>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19"/>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482"/>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5180"/>
    <w:rsid w:val="00C167DB"/>
    <w:rsid w:val="00C16C30"/>
    <w:rsid w:val="00C20A00"/>
    <w:rsid w:val="00C21673"/>
    <w:rsid w:val="00C21C7A"/>
    <w:rsid w:val="00C23130"/>
    <w:rsid w:val="00C2357C"/>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4E5B"/>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99A"/>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3ABF"/>
    <w:rsid w:val="00C74FEE"/>
    <w:rsid w:val="00C75A6B"/>
    <w:rsid w:val="00C763B6"/>
    <w:rsid w:val="00C7644F"/>
    <w:rsid w:val="00C768F6"/>
    <w:rsid w:val="00C80073"/>
    <w:rsid w:val="00C805E7"/>
    <w:rsid w:val="00C80DEA"/>
    <w:rsid w:val="00C80ED7"/>
    <w:rsid w:val="00C832DC"/>
    <w:rsid w:val="00C8377F"/>
    <w:rsid w:val="00C83D54"/>
    <w:rsid w:val="00C83FD0"/>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1BD1"/>
    <w:rsid w:val="00CA221D"/>
    <w:rsid w:val="00CA2241"/>
    <w:rsid w:val="00CA38F5"/>
    <w:rsid w:val="00CA3CDD"/>
    <w:rsid w:val="00CA403B"/>
    <w:rsid w:val="00CA46C8"/>
    <w:rsid w:val="00CA505A"/>
    <w:rsid w:val="00CA59DD"/>
    <w:rsid w:val="00CA785F"/>
    <w:rsid w:val="00CB008E"/>
    <w:rsid w:val="00CB01FA"/>
    <w:rsid w:val="00CB0737"/>
    <w:rsid w:val="00CB097A"/>
    <w:rsid w:val="00CB0E3E"/>
    <w:rsid w:val="00CB2429"/>
    <w:rsid w:val="00CB24A2"/>
    <w:rsid w:val="00CB26EC"/>
    <w:rsid w:val="00CB2881"/>
    <w:rsid w:val="00CB2D2A"/>
    <w:rsid w:val="00CB3071"/>
    <w:rsid w:val="00CB4793"/>
    <w:rsid w:val="00CB49B4"/>
    <w:rsid w:val="00CB5B1E"/>
    <w:rsid w:val="00CB60CE"/>
    <w:rsid w:val="00CB787A"/>
    <w:rsid w:val="00CC0C4A"/>
    <w:rsid w:val="00CC12E2"/>
    <w:rsid w:val="00CC16D1"/>
    <w:rsid w:val="00CC17F0"/>
    <w:rsid w:val="00CC1853"/>
    <w:rsid w:val="00CC1D13"/>
    <w:rsid w:val="00CC1FAE"/>
    <w:rsid w:val="00CC3A23"/>
    <w:rsid w:val="00CC3BD5"/>
    <w:rsid w:val="00CC3CD6"/>
    <w:rsid w:val="00CC426A"/>
    <w:rsid w:val="00CC50D9"/>
    <w:rsid w:val="00CC70D9"/>
    <w:rsid w:val="00CC737C"/>
    <w:rsid w:val="00CC737E"/>
    <w:rsid w:val="00CD03B2"/>
    <w:rsid w:val="00CD087D"/>
    <w:rsid w:val="00CD0F5D"/>
    <w:rsid w:val="00CD1C0B"/>
    <w:rsid w:val="00CD239A"/>
    <w:rsid w:val="00CD469A"/>
    <w:rsid w:val="00CD5098"/>
    <w:rsid w:val="00CD5512"/>
    <w:rsid w:val="00CD5BCB"/>
    <w:rsid w:val="00CD6B7C"/>
    <w:rsid w:val="00CD6E3D"/>
    <w:rsid w:val="00CD71AB"/>
    <w:rsid w:val="00CD7958"/>
    <w:rsid w:val="00CE0109"/>
    <w:rsid w:val="00CE06DE"/>
    <w:rsid w:val="00CE1FC5"/>
    <w:rsid w:val="00CE2244"/>
    <w:rsid w:val="00CE2FFD"/>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938"/>
    <w:rsid w:val="00CF740C"/>
    <w:rsid w:val="00D004FA"/>
    <w:rsid w:val="00D01B21"/>
    <w:rsid w:val="00D01E2F"/>
    <w:rsid w:val="00D030B7"/>
    <w:rsid w:val="00D03102"/>
    <w:rsid w:val="00D03420"/>
    <w:rsid w:val="00D03727"/>
    <w:rsid w:val="00D0378A"/>
    <w:rsid w:val="00D03B71"/>
    <w:rsid w:val="00D03D32"/>
    <w:rsid w:val="00D04289"/>
    <w:rsid w:val="00D04E17"/>
    <w:rsid w:val="00D05132"/>
    <w:rsid w:val="00D05787"/>
    <w:rsid w:val="00D05EA9"/>
    <w:rsid w:val="00D071F8"/>
    <w:rsid w:val="00D07252"/>
    <w:rsid w:val="00D072FF"/>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C1C"/>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697"/>
    <w:rsid w:val="00D3098D"/>
    <w:rsid w:val="00D31A02"/>
    <w:rsid w:val="00D32786"/>
    <w:rsid w:val="00D32A09"/>
    <w:rsid w:val="00D3323C"/>
    <w:rsid w:val="00D33456"/>
    <w:rsid w:val="00D3396F"/>
    <w:rsid w:val="00D33D4D"/>
    <w:rsid w:val="00D34A0B"/>
    <w:rsid w:val="00D36234"/>
    <w:rsid w:val="00D36371"/>
    <w:rsid w:val="00D41005"/>
    <w:rsid w:val="00D41CC4"/>
    <w:rsid w:val="00D42C77"/>
    <w:rsid w:val="00D437D8"/>
    <w:rsid w:val="00D44994"/>
    <w:rsid w:val="00D45C8D"/>
    <w:rsid w:val="00D45DF3"/>
    <w:rsid w:val="00D46174"/>
    <w:rsid w:val="00D47DD0"/>
    <w:rsid w:val="00D50183"/>
    <w:rsid w:val="00D51D12"/>
    <w:rsid w:val="00D51FA9"/>
    <w:rsid w:val="00D52F94"/>
    <w:rsid w:val="00D5362B"/>
    <w:rsid w:val="00D543B4"/>
    <w:rsid w:val="00D55072"/>
    <w:rsid w:val="00D551B5"/>
    <w:rsid w:val="00D560D8"/>
    <w:rsid w:val="00D5696C"/>
    <w:rsid w:val="00D569FB"/>
    <w:rsid w:val="00D56AF5"/>
    <w:rsid w:val="00D56D11"/>
    <w:rsid w:val="00D56DB2"/>
    <w:rsid w:val="00D5747F"/>
    <w:rsid w:val="00D57495"/>
    <w:rsid w:val="00D574FA"/>
    <w:rsid w:val="00D57A0E"/>
    <w:rsid w:val="00D57AB5"/>
    <w:rsid w:val="00D57FEE"/>
    <w:rsid w:val="00D60C8D"/>
    <w:rsid w:val="00D61374"/>
    <w:rsid w:val="00D6168A"/>
    <w:rsid w:val="00D616A5"/>
    <w:rsid w:val="00D61D96"/>
    <w:rsid w:val="00D61FF0"/>
    <w:rsid w:val="00D6211D"/>
    <w:rsid w:val="00D62BD2"/>
    <w:rsid w:val="00D62C97"/>
    <w:rsid w:val="00D63517"/>
    <w:rsid w:val="00D6394B"/>
    <w:rsid w:val="00D63B75"/>
    <w:rsid w:val="00D647A7"/>
    <w:rsid w:val="00D648A1"/>
    <w:rsid w:val="00D64F4F"/>
    <w:rsid w:val="00D659B1"/>
    <w:rsid w:val="00D66D92"/>
    <w:rsid w:val="00D66E18"/>
    <w:rsid w:val="00D6734D"/>
    <w:rsid w:val="00D67733"/>
    <w:rsid w:val="00D67823"/>
    <w:rsid w:val="00D679CF"/>
    <w:rsid w:val="00D679D3"/>
    <w:rsid w:val="00D70A36"/>
    <w:rsid w:val="00D72BC7"/>
    <w:rsid w:val="00D72DE1"/>
    <w:rsid w:val="00D73469"/>
    <w:rsid w:val="00D7356F"/>
    <w:rsid w:val="00D73587"/>
    <w:rsid w:val="00D73EBB"/>
    <w:rsid w:val="00D73F90"/>
    <w:rsid w:val="00D74B92"/>
    <w:rsid w:val="00D751FB"/>
    <w:rsid w:val="00D754D6"/>
    <w:rsid w:val="00D75B44"/>
    <w:rsid w:val="00D75FE7"/>
    <w:rsid w:val="00D761AA"/>
    <w:rsid w:val="00D76CC6"/>
    <w:rsid w:val="00D76FAE"/>
    <w:rsid w:val="00D77040"/>
    <w:rsid w:val="00D777D7"/>
    <w:rsid w:val="00D77948"/>
    <w:rsid w:val="00D807ED"/>
    <w:rsid w:val="00D80AB8"/>
    <w:rsid w:val="00D80FEC"/>
    <w:rsid w:val="00D81792"/>
    <w:rsid w:val="00D819B1"/>
    <w:rsid w:val="00D81BA1"/>
    <w:rsid w:val="00D82494"/>
    <w:rsid w:val="00D82ECC"/>
    <w:rsid w:val="00D83898"/>
    <w:rsid w:val="00D83AE9"/>
    <w:rsid w:val="00D83F48"/>
    <w:rsid w:val="00D84266"/>
    <w:rsid w:val="00D84C46"/>
    <w:rsid w:val="00D84D19"/>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1E4"/>
    <w:rsid w:val="00DA3E7A"/>
    <w:rsid w:val="00DA3EF7"/>
    <w:rsid w:val="00DA430C"/>
    <w:rsid w:val="00DA4DE3"/>
    <w:rsid w:val="00DA5471"/>
    <w:rsid w:val="00DA5F04"/>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2A5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65C"/>
    <w:rsid w:val="00DD6D4E"/>
    <w:rsid w:val="00DD79A6"/>
    <w:rsid w:val="00DE0443"/>
    <w:rsid w:val="00DE068C"/>
    <w:rsid w:val="00DE0E59"/>
    <w:rsid w:val="00DE0F6C"/>
    <w:rsid w:val="00DE12F0"/>
    <w:rsid w:val="00DE1BE0"/>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3035"/>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36E5"/>
    <w:rsid w:val="00E04022"/>
    <w:rsid w:val="00E04DC9"/>
    <w:rsid w:val="00E06528"/>
    <w:rsid w:val="00E066DB"/>
    <w:rsid w:val="00E0728F"/>
    <w:rsid w:val="00E0749C"/>
    <w:rsid w:val="00E0755C"/>
    <w:rsid w:val="00E07679"/>
    <w:rsid w:val="00E112CA"/>
    <w:rsid w:val="00E11548"/>
    <w:rsid w:val="00E14A7E"/>
    <w:rsid w:val="00E151E1"/>
    <w:rsid w:val="00E15AB0"/>
    <w:rsid w:val="00E16766"/>
    <w:rsid w:val="00E17619"/>
    <w:rsid w:val="00E17805"/>
    <w:rsid w:val="00E17941"/>
    <w:rsid w:val="00E17CAC"/>
    <w:rsid w:val="00E20AD3"/>
    <w:rsid w:val="00E20F79"/>
    <w:rsid w:val="00E21278"/>
    <w:rsid w:val="00E2150A"/>
    <w:rsid w:val="00E22CCD"/>
    <w:rsid w:val="00E23296"/>
    <w:rsid w:val="00E23734"/>
    <w:rsid w:val="00E239FC"/>
    <w:rsid w:val="00E23A11"/>
    <w:rsid w:val="00E23FB7"/>
    <w:rsid w:val="00E24A27"/>
    <w:rsid w:val="00E24A9E"/>
    <w:rsid w:val="00E24B5C"/>
    <w:rsid w:val="00E25F89"/>
    <w:rsid w:val="00E26009"/>
    <w:rsid w:val="00E26387"/>
    <w:rsid w:val="00E274C4"/>
    <w:rsid w:val="00E30808"/>
    <w:rsid w:val="00E3117A"/>
    <w:rsid w:val="00E311C3"/>
    <w:rsid w:val="00E324BB"/>
    <w:rsid w:val="00E32D62"/>
    <w:rsid w:val="00E339DC"/>
    <w:rsid w:val="00E33E15"/>
    <w:rsid w:val="00E34AED"/>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B3F"/>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344"/>
    <w:rsid w:val="00E8644A"/>
    <w:rsid w:val="00E870A9"/>
    <w:rsid w:val="00E90279"/>
    <w:rsid w:val="00E90635"/>
    <w:rsid w:val="00E909A1"/>
    <w:rsid w:val="00E90BFF"/>
    <w:rsid w:val="00E91F04"/>
    <w:rsid w:val="00E91F35"/>
    <w:rsid w:val="00E9259E"/>
    <w:rsid w:val="00E95BA6"/>
    <w:rsid w:val="00E9705E"/>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2E8"/>
    <w:rsid w:val="00EA7FCF"/>
    <w:rsid w:val="00EB0C39"/>
    <w:rsid w:val="00EB0CA3"/>
    <w:rsid w:val="00EB104F"/>
    <w:rsid w:val="00EB1B27"/>
    <w:rsid w:val="00EB1DA8"/>
    <w:rsid w:val="00EB28C3"/>
    <w:rsid w:val="00EB2D2E"/>
    <w:rsid w:val="00EB3244"/>
    <w:rsid w:val="00EB4B75"/>
    <w:rsid w:val="00EB4CFF"/>
    <w:rsid w:val="00EB53A6"/>
    <w:rsid w:val="00EB5476"/>
    <w:rsid w:val="00EB5FB6"/>
    <w:rsid w:val="00EB5FF6"/>
    <w:rsid w:val="00EB68B1"/>
    <w:rsid w:val="00EB70B0"/>
    <w:rsid w:val="00EB74F4"/>
    <w:rsid w:val="00EB7633"/>
    <w:rsid w:val="00EB7736"/>
    <w:rsid w:val="00EB7808"/>
    <w:rsid w:val="00EC1DCD"/>
    <w:rsid w:val="00EC20A2"/>
    <w:rsid w:val="00EC2BF5"/>
    <w:rsid w:val="00EC2E2D"/>
    <w:rsid w:val="00EC363A"/>
    <w:rsid w:val="00EC462B"/>
    <w:rsid w:val="00EC4723"/>
    <w:rsid w:val="00EC49BC"/>
    <w:rsid w:val="00EC56E0"/>
    <w:rsid w:val="00EC6057"/>
    <w:rsid w:val="00EC6847"/>
    <w:rsid w:val="00EC6EB4"/>
    <w:rsid w:val="00EC7978"/>
    <w:rsid w:val="00EC7DB6"/>
    <w:rsid w:val="00ED162F"/>
    <w:rsid w:val="00ED2869"/>
    <w:rsid w:val="00ED2AE0"/>
    <w:rsid w:val="00ED2E52"/>
    <w:rsid w:val="00ED3024"/>
    <w:rsid w:val="00ED31A3"/>
    <w:rsid w:val="00ED31DB"/>
    <w:rsid w:val="00ED3C23"/>
    <w:rsid w:val="00ED49B0"/>
    <w:rsid w:val="00ED5FE4"/>
    <w:rsid w:val="00ED67C3"/>
    <w:rsid w:val="00ED6FAD"/>
    <w:rsid w:val="00ED71C5"/>
    <w:rsid w:val="00EE16FA"/>
    <w:rsid w:val="00EE18B9"/>
    <w:rsid w:val="00EE32CE"/>
    <w:rsid w:val="00EE3C42"/>
    <w:rsid w:val="00EE3D4F"/>
    <w:rsid w:val="00EE5303"/>
    <w:rsid w:val="00EE534D"/>
    <w:rsid w:val="00EE5560"/>
    <w:rsid w:val="00EE596F"/>
    <w:rsid w:val="00EE5AD0"/>
    <w:rsid w:val="00EE6ABC"/>
    <w:rsid w:val="00EE6F1E"/>
    <w:rsid w:val="00EE70A6"/>
    <w:rsid w:val="00EE7D82"/>
    <w:rsid w:val="00EF0348"/>
    <w:rsid w:val="00EF1BFD"/>
    <w:rsid w:val="00EF1D7F"/>
    <w:rsid w:val="00EF1F9C"/>
    <w:rsid w:val="00EF21E0"/>
    <w:rsid w:val="00EF25C1"/>
    <w:rsid w:val="00EF3929"/>
    <w:rsid w:val="00EF4366"/>
    <w:rsid w:val="00EF4505"/>
    <w:rsid w:val="00EF4CD6"/>
    <w:rsid w:val="00EF55A0"/>
    <w:rsid w:val="00EF5BA0"/>
    <w:rsid w:val="00EF63D1"/>
    <w:rsid w:val="00EF6513"/>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1484"/>
    <w:rsid w:val="00F125D1"/>
    <w:rsid w:val="00F12FF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B0"/>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6E5"/>
    <w:rsid w:val="00F66920"/>
    <w:rsid w:val="00F66C20"/>
    <w:rsid w:val="00F673EE"/>
    <w:rsid w:val="00F676DE"/>
    <w:rsid w:val="00F6783E"/>
    <w:rsid w:val="00F67B53"/>
    <w:rsid w:val="00F67C15"/>
    <w:rsid w:val="00F7019F"/>
    <w:rsid w:val="00F70822"/>
    <w:rsid w:val="00F70DBE"/>
    <w:rsid w:val="00F71124"/>
    <w:rsid w:val="00F71888"/>
    <w:rsid w:val="00F719CD"/>
    <w:rsid w:val="00F71BB8"/>
    <w:rsid w:val="00F7222B"/>
    <w:rsid w:val="00F72584"/>
    <w:rsid w:val="00F7264F"/>
    <w:rsid w:val="00F7290D"/>
    <w:rsid w:val="00F72B98"/>
    <w:rsid w:val="00F7302F"/>
    <w:rsid w:val="00F732EC"/>
    <w:rsid w:val="00F73A80"/>
    <w:rsid w:val="00F73D08"/>
    <w:rsid w:val="00F749CD"/>
    <w:rsid w:val="00F7586B"/>
    <w:rsid w:val="00F75D45"/>
    <w:rsid w:val="00F75F2F"/>
    <w:rsid w:val="00F76445"/>
    <w:rsid w:val="00F76D0C"/>
    <w:rsid w:val="00F76ECC"/>
    <w:rsid w:val="00F7783C"/>
    <w:rsid w:val="00F779FD"/>
    <w:rsid w:val="00F80399"/>
    <w:rsid w:val="00F80549"/>
    <w:rsid w:val="00F80767"/>
    <w:rsid w:val="00F81299"/>
    <w:rsid w:val="00F812C8"/>
    <w:rsid w:val="00F8132D"/>
    <w:rsid w:val="00F81661"/>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32B"/>
    <w:rsid w:val="00F96CDF"/>
    <w:rsid w:val="00F97120"/>
    <w:rsid w:val="00F97908"/>
    <w:rsid w:val="00F97B43"/>
    <w:rsid w:val="00FA07F8"/>
    <w:rsid w:val="00FA105C"/>
    <w:rsid w:val="00FA1460"/>
    <w:rsid w:val="00FA1475"/>
    <w:rsid w:val="00FA148A"/>
    <w:rsid w:val="00FA1A0F"/>
    <w:rsid w:val="00FA26BA"/>
    <w:rsid w:val="00FA27C8"/>
    <w:rsid w:val="00FA2D22"/>
    <w:rsid w:val="00FA35E3"/>
    <w:rsid w:val="00FA3B76"/>
    <w:rsid w:val="00FA45EE"/>
    <w:rsid w:val="00FA4D66"/>
    <w:rsid w:val="00FA56AE"/>
    <w:rsid w:val="00FA5A4E"/>
    <w:rsid w:val="00FA6157"/>
    <w:rsid w:val="00FA71F2"/>
    <w:rsid w:val="00FA7999"/>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4D70"/>
    <w:rsid w:val="00FB5148"/>
    <w:rsid w:val="00FB570B"/>
    <w:rsid w:val="00FB6165"/>
    <w:rsid w:val="00FB78E7"/>
    <w:rsid w:val="00FB7F98"/>
    <w:rsid w:val="00FC0150"/>
    <w:rsid w:val="00FC03AB"/>
    <w:rsid w:val="00FC0FFF"/>
    <w:rsid w:val="00FC223F"/>
    <w:rsid w:val="00FC2E01"/>
    <w:rsid w:val="00FC4668"/>
    <w:rsid w:val="00FC4729"/>
    <w:rsid w:val="00FC4A8C"/>
    <w:rsid w:val="00FC53DB"/>
    <w:rsid w:val="00FC5ED5"/>
    <w:rsid w:val="00FC5FC2"/>
    <w:rsid w:val="00FC6177"/>
    <w:rsid w:val="00FC63D1"/>
    <w:rsid w:val="00FC7528"/>
    <w:rsid w:val="00FD0572"/>
    <w:rsid w:val="00FD1A97"/>
    <w:rsid w:val="00FD2333"/>
    <w:rsid w:val="00FD2D7B"/>
    <w:rsid w:val="00FD3027"/>
    <w:rsid w:val="00FD37F6"/>
    <w:rsid w:val="00FD4003"/>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1346"/>
    <w:rsid w:val="00FF2310"/>
    <w:rsid w:val="00FF2319"/>
    <w:rsid w:val="00FF2378"/>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11111111.vsdx"/><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H00901892\Desktop\RAN2%23107\reTx.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none" baseline="0">
                <a:solidFill>
                  <a:schemeClr val="lt1">
                    <a:lumMod val="85000"/>
                  </a:schemeClr>
                </a:solidFill>
                <a:latin typeface="+mn-lt"/>
                <a:ea typeface="+mn-ea"/>
                <a:cs typeface="+mn-cs"/>
              </a:defRPr>
            </a:pPr>
            <a:r>
              <a:rPr lang="en-US"/>
              <a:t>Souce Cell Error Rate = 5% </a:t>
            </a:r>
          </a:p>
          <a:p>
            <a:pPr>
              <a:defRPr/>
            </a:pPr>
            <a:r>
              <a:rPr lang="en-US"/>
              <a:t>Target Cell Error Rate = 1%</a:t>
            </a:r>
          </a:p>
        </c:rich>
      </c:tx>
      <c:layout>
        <c:manualLayout>
          <c:xMode val="edge"/>
          <c:yMode val="edge"/>
          <c:x val="0.2924304461942257"/>
          <c:y val="2.7777777777777776E-2"/>
        </c:manualLayout>
      </c:layout>
      <c:overlay val="0"/>
      <c:spPr>
        <a:noFill/>
        <a:ln>
          <a:noFill/>
        </a:ln>
        <a:effectLst/>
      </c:spPr>
      <c:txPr>
        <a:bodyPr rot="0" spcFirstLastPara="1" vertOverflow="ellipsis" vert="horz" wrap="square" anchor="ctr" anchorCtr="1"/>
        <a:lstStyle/>
        <a:p>
          <a:pPr>
            <a:defRPr sz="1400" b="1" i="0" u="none" strike="noStrike" kern="1200" cap="none" baseline="0">
              <a:solidFill>
                <a:schemeClr val="lt1">
                  <a:lumMod val="85000"/>
                </a:schemeClr>
              </a:solidFill>
              <a:latin typeface="+mn-lt"/>
              <a:ea typeface="+mn-ea"/>
              <a:cs typeface="+mn-cs"/>
            </a:defRPr>
          </a:pPr>
          <a:endParaRPr lang="en-US"/>
        </a:p>
      </c:txPr>
    </c:title>
    <c:autoTitleDeleted val="0"/>
    <c:plotArea>
      <c:layout/>
      <c:lineChart>
        <c:grouping val="standard"/>
        <c:varyColors val="0"/>
        <c:ser>
          <c:idx val="0"/>
          <c:order val="0"/>
          <c:tx>
            <c:v>Rel. 15 HO</c:v>
          </c:tx>
          <c:spPr>
            <a:ln w="22225" cap="rnd">
              <a:solidFill>
                <a:schemeClr val="accent1"/>
              </a:solidFill>
            </a:ln>
            <a:effectLst>
              <a:glow rad="139700">
                <a:schemeClr val="accent1">
                  <a:satMod val="175000"/>
                  <a:alpha val="14000"/>
                </a:schemeClr>
              </a:glow>
            </a:effectLst>
          </c:spPr>
          <c:marker>
            <c:symbol val="none"/>
          </c:marker>
          <c:cat>
            <c:numRef>
              <c:f>Sheet1!$S$27:$S$30</c:f>
              <c:numCache>
                <c:formatCode>General</c:formatCode>
                <c:ptCount val="4"/>
                <c:pt idx="0">
                  <c:v>10</c:v>
                </c:pt>
                <c:pt idx="1">
                  <c:v>20</c:v>
                </c:pt>
                <c:pt idx="2">
                  <c:v>30</c:v>
                </c:pt>
                <c:pt idx="3">
                  <c:v>40</c:v>
                </c:pt>
              </c:numCache>
            </c:numRef>
          </c:cat>
          <c:val>
            <c:numRef>
              <c:f>Sheet1!$T$27:$T$30</c:f>
              <c:numCache>
                <c:formatCode>General</c:formatCode>
                <c:ptCount val="4"/>
                <c:pt idx="0">
                  <c:v>0.95617924991195702</c:v>
                </c:pt>
                <c:pt idx="1">
                  <c:v>1.8209306240276935</c:v>
                </c:pt>
                <c:pt idx="2">
                  <c:v>2.602996266117199</c:v>
                </c:pt>
                <c:pt idx="3">
                  <c:v>3.3102824143031997</c:v>
                </c:pt>
              </c:numCache>
            </c:numRef>
          </c:val>
          <c:smooth val="0"/>
        </c:ser>
        <c:ser>
          <c:idx val="1"/>
          <c:order val="1"/>
          <c:tx>
            <c:v>DC HO</c:v>
          </c:tx>
          <c:spPr>
            <a:ln w="22225" cap="rnd">
              <a:solidFill>
                <a:schemeClr val="accent2"/>
              </a:solidFill>
            </a:ln>
            <a:effectLst>
              <a:glow rad="139700">
                <a:schemeClr val="accent2">
                  <a:satMod val="175000"/>
                  <a:alpha val="14000"/>
                </a:schemeClr>
              </a:glow>
            </a:effectLst>
          </c:spPr>
          <c:marker>
            <c:symbol val="none"/>
          </c:marker>
          <c:cat>
            <c:numRef>
              <c:f>Sheet1!$S$27:$S$30</c:f>
              <c:numCache>
                <c:formatCode>General</c:formatCode>
                <c:ptCount val="4"/>
                <c:pt idx="0">
                  <c:v>10</c:v>
                </c:pt>
                <c:pt idx="1">
                  <c:v>20</c:v>
                </c:pt>
                <c:pt idx="2">
                  <c:v>30</c:v>
                </c:pt>
                <c:pt idx="3">
                  <c:v>40</c:v>
                </c:pt>
              </c:numCache>
            </c:numRef>
          </c:cat>
          <c:val>
            <c:numRef>
              <c:f>Sheet1!$U$27:$U$30</c:f>
              <c:numCache>
                <c:formatCode>General</c:formatCode>
                <c:ptCount val="4"/>
                <c:pt idx="0">
                  <c:v>4.988764986882166E-2</c:v>
                </c:pt>
                <c:pt idx="1">
                  <c:v>9.952642197670003E-2</c:v>
                </c:pt>
                <c:pt idx="2">
                  <c:v>0.14891755791629491</c:v>
                </c:pt>
                <c:pt idx="3">
                  <c:v>0.19806229308625189</c:v>
                </c:pt>
              </c:numCache>
            </c:numRef>
          </c:val>
          <c:smooth val="0"/>
        </c:ser>
        <c:ser>
          <c:idx val="2"/>
          <c:order val="2"/>
          <c:tx>
            <c:v>MBB with Duplication</c:v>
          </c:tx>
          <c:spPr>
            <a:ln w="22225" cap="rnd">
              <a:solidFill>
                <a:schemeClr val="accent3"/>
              </a:solidFill>
            </a:ln>
            <a:effectLst>
              <a:glow rad="139700">
                <a:schemeClr val="accent3">
                  <a:satMod val="175000"/>
                  <a:alpha val="14000"/>
                </a:schemeClr>
              </a:glow>
            </a:effectLst>
          </c:spPr>
          <c:marker>
            <c:symbol val="none"/>
          </c:marker>
          <c:cat>
            <c:numRef>
              <c:f>Sheet1!$S$27:$S$30</c:f>
              <c:numCache>
                <c:formatCode>General</c:formatCode>
                <c:ptCount val="4"/>
                <c:pt idx="0">
                  <c:v>10</c:v>
                </c:pt>
                <c:pt idx="1">
                  <c:v>20</c:v>
                </c:pt>
                <c:pt idx="2">
                  <c:v>30</c:v>
                </c:pt>
                <c:pt idx="3">
                  <c:v>40</c:v>
                </c:pt>
              </c:numCache>
            </c:numRef>
          </c:cat>
          <c:val>
            <c:numRef>
              <c:f>Sheet1!$V$27:$V$30</c:f>
              <c:numCache>
                <c:formatCode>General</c:formatCode>
                <c:ptCount val="4"/>
                <c:pt idx="0">
                  <c:v>0.3836794124564229</c:v>
                </c:pt>
                <c:pt idx="1">
                  <c:v>1.1681526296311635</c:v>
                </c:pt>
                <c:pt idx="2">
                  <c:v>2.044292365009722</c:v>
                </c:pt>
                <c:pt idx="3">
                  <c:v>2.8848708824015583</c:v>
                </c:pt>
              </c:numCache>
            </c:numRef>
          </c:val>
          <c:smooth val="0"/>
        </c:ser>
        <c:ser>
          <c:idx val="3"/>
          <c:order val="3"/>
          <c:tx>
            <c:v>MBB without Duplication</c:v>
          </c:tx>
          <c:spPr>
            <a:ln w="22225" cap="rnd">
              <a:solidFill>
                <a:schemeClr val="accent4"/>
              </a:solidFill>
            </a:ln>
            <a:effectLst>
              <a:glow rad="139700">
                <a:schemeClr val="accent4">
                  <a:satMod val="175000"/>
                  <a:alpha val="14000"/>
                </a:schemeClr>
              </a:glow>
            </a:effectLst>
          </c:spPr>
          <c:marker>
            <c:symbol val="none"/>
          </c:marker>
          <c:cat>
            <c:numRef>
              <c:f>Sheet1!$S$27:$S$30</c:f>
              <c:numCache>
                <c:formatCode>General</c:formatCode>
                <c:ptCount val="4"/>
                <c:pt idx="0">
                  <c:v>10</c:v>
                </c:pt>
                <c:pt idx="1">
                  <c:v>20</c:v>
                </c:pt>
                <c:pt idx="2">
                  <c:v>30</c:v>
                </c:pt>
                <c:pt idx="3">
                  <c:v>40</c:v>
                </c:pt>
              </c:numCache>
            </c:numRef>
          </c:cat>
          <c:val>
            <c:numRef>
              <c:f>Sheet1!$W$27:$W$30</c:f>
              <c:numCache>
                <c:formatCode>General</c:formatCode>
                <c:ptCount val="4"/>
                <c:pt idx="0">
                  <c:v>2.6414202763520631</c:v>
                </c:pt>
                <c:pt idx="1">
                  <c:v>4.5851304450717461</c:v>
                </c:pt>
                <c:pt idx="2">
                  <c:v>6.0154250686906412</c:v>
                </c:pt>
                <c:pt idx="3">
                  <c:v>7.0679187703111079</c:v>
                </c:pt>
              </c:numCache>
            </c:numRef>
          </c:val>
          <c:smooth val="0"/>
        </c:ser>
        <c:dLbls>
          <c:showLegendKey val="0"/>
          <c:showVal val="0"/>
          <c:showCatName val="0"/>
          <c:showSerName val="0"/>
          <c:showPercent val="0"/>
          <c:showBubbleSize val="0"/>
        </c:dLbls>
        <c:smooth val="0"/>
        <c:axId val="755157728"/>
        <c:axId val="755160864"/>
      </c:lineChart>
      <c:catAx>
        <c:axId val="755157728"/>
        <c:scaling>
          <c:orientation val="minMax"/>
        </c:scaling>
        <c:delete val="0"/>
        <c:axPos val="b"/>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title>
          <c:tx>
            <c:rich>
              <a:bodyPr rot="0" spcFirstLastPara="1" vertOverflow="ellipsis" vert="horz" wrap="square" anchor="ctr" anchorCtr="1"/>
              <a:lstStyle/>
              <a:p>
                <a:pPr>
                  <a:defRPr sz="900" b="1" i="0" u="none" strike="noStrike" kern="1200" baseline="0">
                    <a:solidFill>
                      <a:schemeClr val="lt1">
                        <a:lumMod val="75000"/>
                      </a:schemeClr>
                    </a:solidFill>
                    <a:latin typeface="+mn-lt"/>
                    <a:ea typeface="+mn-ea"/>
                    <a:cs typeface="+mn-cs"/>
                  </a:defRPr>
                </a:pPr>
                <a:r>
                  <a:rPr lang="en-US"/>
                  <a:t>Number of PDCP SDU</a:t>
                </a:r>
              </a:p>
            </c:rich>
          </c:tx>
          <c:layout>
            <c:manualLayout>
              <c:xMode val="edge"/>
              <c:yMode val="edge"/>
              <c:x val="0.37032524059492561"/>
              <c:y val="0.79474983681150158"/>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lt1">
                      <a:lumMod val="75000"/>
                    </a:schemeClr>
                  </a:solidFill>
                  <a:latin typeface="+mn-lt"/>
                  <a:ea typeface="+mn-ea"/>
                  <a:cs typeface="+mn-cs"/>
                </a:defRPr>
              </a:pPr>
              <a:endParaRPr lang="en-US"/>
            </a:p>
          </c:txPr>
        </c:title>
        <c:numFmt formatCode="General" sourceLinked="1"/>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755160864"/>
        <c:crosses val="autoZero"/>
        <c:auto val="0"/>
        <c:lblAlgn val="ctr"/>
        <c:lblOffset val="100"/>
        <c:noMultiLvlLbl val="0"/>
      </c:catAx>
      <c:valAx>
        <c:axId val="755160864"/>
        <c:scaling>
          <c:logBase val="10"/>
          <c:orientation val="minMax"/>
        </c:scaling>
        <c:delete val="0"/>
        <c:axPos val="l"/>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title>
          <c:tx>
            <c:rich>
              <a:bodyPr rot="-5400000" spcFirstLastPara="1" vertOverflow="ellipsis" vert="horz" wrap="square" anchor="ctr" anchorCtr="1"/>
              <a:lstStyle/>
              <a:p>
                <a:pPr>
                  <a:defRPr sz="900" b="1" i="0" u="none" strike="noStrike" kern="1200" baseline="0">
                    <a:solidFill>
                      <a:schemeClr val="lt1">
                        <a:lumMod val="75000"/>
                      </a:schemeClr>
                    </a:solidFill>
                    <a:latin typeface="+mn-lt"/>
                    <a:ea typeface="+mn-ea"/>
                    <a:cs typeface="+mn-cs"/>
                  </a:defRPr>
                </a:pPr>
                <a:r>
                  <a:rPr lang="en-US"/>
                  <a:t>Average Interruption Time (ms)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lt1">
                      <a:lumMod val="75000"/>
                    </a:schemeClr>
                  </a:solidFill>
                  <a:latin typeface="+mn-lt"/>
                  <a:ea typeface="+mn-ea"/>
                  <a:cs typeface="+mn-cs"/>
                </a:defRPr>
              </a:pPr>
              <a:endParaRPr lang="en-US"/>
            </a:p>
          </c:txPr>
        </c:title>
        <c:numFmt formatCode="General" sourceLinked="1"/>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7551577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legend>
    <c:plotVisOnly val="1"/>
    <c:dispBlanksAs val="gap"/>
    <c:showDLblsOverMax val="0"/>
  </c:chart>
  <c:spPr>
    <a:solidFill>
      <a:schemeClr val="dk1">
        <a:lumMod val="75000"/>
        <a:lumOff val="25000"/>
      </a:schemeClr>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6">
  <cs:axisTitle>
    <cs:lnRef idx="0"/>
    <cs:fillRef idx="0"/>
    <cs:effectRef idx="0"/>
    <cs:fontRef idx="minor">
      <a:schemeClr val="lt1">
        <a:lumMod val="75000"/>
      </a:schemeClr>
    </cs:fontRef>
    <cs:defRPr sz="900" b="1" kern="1200"/>
  </cs:axisTitle>
  <cs:categoryAxis>
    <cs:lnRef idx="0"/>
    <cs:fillRef idx="0"/>
    <cs:effectRef idx="0"/>
    <cs:fontRef idx="minor">
      <a:schemeClr val="lt1">
        <a:lumMod val="75000"/>
      </a:schemeClr>
    </cs:fontRef>
    <cs:defRPr sz="900" kern="1200"/>
  </cs:categoryAxis>
  <cs:chartArea>
    <cs:lnRef idx="0"/>
    <cs:fillRef idx="0"/>
    <cs:effectRef idx="0"/>
    <cs:fontRef idx="minor">
      <a:schemeClr val="dk1"/>
    </cs:fontRef>
    <cs:spPr>
      <a:solidFill>
        <a:schemeClr val="dk1">
          <a:lumMod val="75000"/>
          <a:lumOff val="25000"/>
        </a:schemeClr>
      </a:solidFill>
      <a:ln w="9525" cap="flat" cmpd="sng" algn="ctr">
        <a:solidFill>
          <a:schemeClr val="dk1">
            <a:lumMod val="15000"/>
            <a:lumOff val="85000"/>
          </a:schemeClr>
        </a:solidFill>
        <a:round/>
      </a:ln>
    </cs:spPr>
    <cs:defRPr sz="900" kern="1200"/>
  </cs:chartArea>
  <cs:dataLabel>
    <cs:lnRef idx="0"/>
    <cs:fillRef idx="0"/>
    <cs:effectRef idx="0"/>
    <cs:fontRef idx="minor">
      <a:schemeClr val="lt1">
        <a:lumMod val="75000"/>
      </a:schemeClr>
    </cs:fontRef>
    <cs:defRPr sz="900" kern="1200"/>
  </cs:dataLabel>
  <cs:dataLabelCallout>
    <cs:lnRef idx="0"/>
    <cs:fillRef idx="0"/>
    <cs:effectRef idx="0"/>
    <cs:fontRef idx="minor">
      <a:schemeClr val="lt1">
        <a:lumMod val="15000"/>
        <a:lumOff val="85000"/>
      </a:schemeClr>
    </cs:fontRef>
    <cs:spPr>
      <a:solidFill>
        <a:schemeClr val="dk1">
          <a:lumMod val="65000"/>
          <a:lumOff val="3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
  <cs:dataPoint3D>
    <cs:lnRef idx="0">
      <cs:styleClr val="auto"/>
    </cs:lnRef>
    <cs:fillRef idx="0">
      <cs:styleClr val="auto"/>
    </cs:fillRef>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3D>
  <cs:dataPointLine>
    <cs:lnRef idx="0">
      <cs:styleClr val="auto"/>
    </cs:lnRef>
    <cs:fillRef idx="0">
      <cs:styleClr val="auto"/>
    </cs:fillRef>
    <cs:effectRef idx="0">
      <cs:styleClr val="auto"/>
    </cs:effectRef>
    <cs:fontRef idx="minor">
      <a:schemeClr val="dk1"/>
    </cs:fontRef>
    <cs:spPr>
      <a:ln w="22225" cap="rnd">
        <a:solidFill>
          <a:schemeClr val="phClr"/>
        </a:solidFill>
      </a:ln>
      <a:effectLst>
        <a:glow rad="139700">
          <a:schemeClr val="phClr">
            <a:satMod val="175000"/>
            <a:alpha val="14000"/>
          </a:schemeClr>
        </a:glow>
      </a:effectLst>
    </cs:spPr>
  </cs:dataPointLine>
  <cs:dataPointMarker>
    <cs:lnRef idx="0">
      <cs:styleClr val="auto"/>
    </cs:lnRef>
    <cs:fillRef idx="0">
      <cs:styleClr val="auto"/>
    </cs:fillRef>
    <cs:effectRef idx="0">
      <cs:styleClr val="auto"/>
    </cs:effectRef>
    <cs:fontRef idx="minor">
      <a:schemeClr val="dk1"/>
    </cs:fontRef>
    <cs:spPr>
      <a:solidFill>
        <a:schemeClr val="phClr">
          <a:lumMod val="60000"/>
          <a:lumOff val="40000"/>
        </a:schemeClr>
      </a:solidFill>
      <a:effectLst>
        <a:glow rad="63500">
          <a:schemeClr val="phClr">
            <a:satMod val="175000"/>
            <a:alpha val="25000"/>
          </a:schemeClr>
        </a:glow>
      </a:effectLst>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lt1">
        <a:lumMod val="75000"/>
      </a:schemeClr>
    </cs:fontRef>
    <cs:spPr>
      <a:ln w="9525">
        <a:solidFill>
          <a:schemeClr val="dk1">
            <a:lumMod val="50000"/>
            <a:lumOff val="50000"/>
          </a:schemeClr>
        </a:solidFill>
      </a:ln>
    </cs:spPr>
    <cs:defRPr sz="900" kern="1200"/>
  </cs:dataTable>
  <cs:downBar>
    <cs:lnRef idx="0"/>
    <cs:fillRef idx="0"/>
    <cs:effectRef idx="0"/>
    <cs:fontRef idx="minor">
      <a:schemeClr val="lt1"/>
    </cs:fontRef>
    <cs:spPr>
      <a:solidFill>
        <a:schemeClr val="dk1">
          <a:lumMod val="50000"/>
          <a:lumOff val="50000"/>
        </a:schemeClr>
      </a:solidFill>
      <a:ln w="9525">
        <a:solidFill>
          <a:schemeClr val="dk1">
            <a:lumMod val="75000"/>
          </a:schemeClr>
        </a:solidFill>
        <a:round/>
      </a:ln>
    </cs:spPr>
  </cs:downBar>
  <cs:dropLine>
    <cs:lnRef idx="0"/>
    <cs:fillRef idx="0"/>
    <cs:effectRef idx="0"/>
    <cs:fontRef idx="minor">
      <a:schemeClr val="dk1"/>
    </cs:fontRef>
    <cs:spPr>
      <a:ln w="9525">
        <a:solidFill>
          <a:schemeClr val="lt1">
            <a:lumMod val="50000"/>
          </a:schemeClr>
        </a:solidFill>
        <a:round/>
      </a:ln>
    </cs:spPr>
  </cs:dropLine>
  <cs:errorBar>
    <cs:lnRef idx="0"/>
    <cs:fillRef idx="0"/>
    <cs:effectRef idx="0"/>
    <cs:fontRef idx="minor">
      <a:schemeClr val="dk1"/>
    </cs:fontRef>
    <cs:spPr>
      <a:ln w="9525">
        <a:solidFill>
          <a:schemeClr val="lt1">
            <a:lumMod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75000"/>
                <a:lumOff val="25000"/>
              </a:schemeClr>
            </a:gs>
            <a:gs pos="0">
              <a:schemeClr val="dk1">
                <a:lumMod val="65000"/>
                <a:lumOff val="3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dk1">
                <a:lumMod val="75000"/>
                <a:lumOff val="25000"/>
                <a:alpha val="25000"/>
              </a:schemeClr>
            </a:gs>
            <a:gs pos="0">
              <a:schemeClr val="dk1">
                <a:lumMod val="65000"/>
                <a:lumOff val="35000"/>
                <a:alpha val="25000"/>
              </a:schemeClr>
            </a:gs>
          </a:gsLst>
          <a:lin ang="5400000" scaled="0"/>
        </a:gradFill>
        <a:round/>
      </a:ln>
    </cs:spPr>
  </cs:gridlineMinor>
  <cs:hiLoLine>
    <cs:lnRef idx="0"/>
    <cs:fillRef idx="0"/>
    <cs:effectRef idx="0"/>
    <cs:fontRef idx="minor">
      <a:schemeClr val="dk1"/>
    </cs:fontRef>
    <cs:spPr>
      <a:ln w="9525">
        <a:solidFill>
          <a:schemeClr val="lt1">
            <a:lumMod val="50000"/>
          </a:schemeClr>
        </a:solidFill>
        <a:round/>
      </a:ln>
    </cs:spPr>
  </cs:hiLoLine>
  <cs:leaderLine>
    <cs:lnRef idx="0"/>
    <cs:fillRef idx="0"/>
    <cs:effectRef idx="0"/>
    <cs:fontRef idx="minor">
      <a:schemeClr val="dk1"/>
    </cs:fontRef>
    <cs:spPr>
      <a:ln w="9525">
        <a:solidFill>
          <a:schemeClr val="lt1">
            <a:lumMod val="50000"/>
          </a:schemeClr>
        </a:solidFill>
        <a:round/>
      </a:ln>
    </cs:spPr>
  </cs:leaderLine>
  <cs:legend>
    <cs:lnRef idx="0"/>
    <cs:fillRef idx="0"/>
    <cs:effectRef idx="0"/>
    <cs:fontRef idx="minor">
      <a:schemeClr val="lt1">
        <a:lumMod val="7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lt1">
        <a:lumMod val="75000"/>
      </a:schemeClr>
    </cs:fontRef>
    <cs:defRPr sz="900" kern="1200"/>
  </cs:seriesAxis>
  <cs:seriesLine>
    <cs:lnRef idx="0"/>
    <cs:fillRef idx="0"/>
    <cs:effectRef idx="0"/>
    <cs:fontRef idx="minor">
      <a:schemeClr val="dk1"/>
    </cs:fontRef>
    <cs:spPr>
      <a:ln w="9525">
        <a:solidFill>
          <a:schemeClr val="lt1">
            <a:lumMod val="50000"/>
          </a:schemeClr>
        </a:solidFill>
        <a:round/>
      </a:ln>
    </cs:spPr>
  </cs:seriesLine>
  <cs:title>
    <cs:lnRef idx="0"/>
    <cs:fillRef idx="0"/>
    <cs:effectRef idx="0"/>
    <cs:fontRef idx="minor">
      <a:schemeClr val="lt1">
        <a:lumMod val="85000"/>
      </a:schemeClr>
    </cs:fontRef>
    <cs:defRPr sz="1400" b="1" kern="1200" cap="none" baseline="0"/>
  </cs:title>
  <cs:trendline>
    <cs:lnRef idx="0">
      <cs:styleClr val="auto"/>
    </cs:lnRef>
    <cs:fillRef idx="0"/>
    <cs:effectRef idx="0"/>
    <cs:fontRef idx="minor">
      <a:schemeClr val="lt1"/>
    </cs:fontRef>
    <cs:spPr>
      <a:ln w="25400" cap="rnd">
        <a:solidFill>
          <a:schemeClr val="phClr">
            <a:alpha val="50000"/>
          </a:schemeClr>
        </a:solidFill>
      </a:ln>
    </cs:spPr>
  </cs:trendline>
  <cs:trendlineLabel>
    <cs:lnRef idx="0"/>
    <cs:fillRef idx="0"/>
    <cs:effectRef idx="0"/>
    <cs:fontRef idx="minor">
      <a:schemeClr val="lt1">
        <a:lumMod val="75000"/>
      </a:schemeClr>
    </cs:fontRef>
    <cs:defRPr sz="900" kern="1200"/>
  </cs:trendlineLabel>
  <cs:upBar>
    <cs:lnRef idx="0"/>
    <cs:fillRef idx="0"/>
    <cs:effectRef idx="0"/>
    <cs:fontRef idx="minor">
      <a:schemeClr val="dk1"/>
    </cs:fontRef>
    <cs:spPr>
      <a:solidFill>
        <a:schemeClr val="lt1">
          <a:lumMod val="85000"/>
        </a:schemeClr>
      </a:solidFill>
      <a:ln w="9525">
        <a:solidFill>
          <a:schemeClr val="dk1">
            <a:lumMod val="50000"/>
          </a:schemeClr>
        </a:solidFill>
        <a:round/>
      </a:ln>
    </cs:spPr>
  </cs:upBar>
  <cs:valueAxis>
    <cs:lnRef idx="0"/>
    <cs:fillRef idx="0"/>
    <cs:effectRef idx="0"/>
    <cs:fontRef idx="minor">
      <a:schemeClr val="lt1">
        <a:lumMod val="7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FE7B6B-D97B-4DE2-BAB7-B83F20FD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1470</Words>
  <Characters>8380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 Bi</dc:creator>
  <cp:lastModifiedBy>Hao Bi</cp:lastModifiedBy>
  <cp:revision>26</cp:revision>
  <cp:lastPrinted>2007-06-18T22:08:00Z</cp:lastPrinted>
  <dcterms:created xsi:type="dcterms:W3CDTF">2019-08-14T18:50:00Z</dcterms:created>
  <dcterms:modified xsi:type="dcterms:W3CDTF">2019-08-16T01:32:00Z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